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autoSpaceDE w:val="0"/>
        <w:autoSpaceDN w:val="0"/>
        <w:adjustRightInd w:val="0"/>
        <w:spacing w:line="485" w:lineRule="atLeast"/>
        <w:ind w:left="720" w:hanging="240"/>
        <w:rPr>
          <w:rFonts w:ascii="ＭＳ 明朝" w:eastAsia="ＭＳ 明朝" w:cs="ＭＳ 明朝"/>
          <w:spacing w:val="10"/>
          <w:kern w:val="0"/>
          <w:sz w:val="22"/>
          <w:lang w:val="ja-JP"/>
        </w:rPr>
      </w:pPr>
      <w:bookmarkStart w:id="0" w:name="_GoBack"/>
      <w:bookmarkEnd w:id="0"/>
      <w:r>
        <w:rPr>
          <w:rFonts w:ascii="ＭＳ 明朝" w:eastAsia="ＭＳ 明朝" w:cs="ＭＳ 明朝" w:hint="eastAsia"/>
          <w:spacing w:val="10"/>
          <w:kern w:val="0"/>
          <w:sz w:val="22"/>
          <w:lang w:val="ja-JP"/>
        </w:rPr>
        <w:t>○大野城市飲用井戸等衛生対策実施要領</w:t>
      </w:r>
    </w:p>
    <w:p>
      <w:pPr>
        <w:autoSpaceDE w:val="0"/>
        <w:autoSpaceDN w:val="0"/>
        <w:adjustRightInd w:val="0"/>
        <w:spacing w:line="485" w:lineRule="atLeast"/>
        <w:jc w:val="right"/>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平成</w:t>
      </w:r>
      <w:r>
        <w:rPr>
          <w:rFonts w:ascii="ＭＳ 明朝" w:eastAsia="ＭＳ 明朝" w:cs="ＭＳ 明朝"/>
          <w:spacing w:val="10"/>
          <w:kern w:val="0"/>
          <w:sz w:val="22"/>
          <w:lang w:val="ja-JP"/>
        </w:rPr>
        <w:t>25</w:t>
      </w:r>
      <w:r>
        <w:rPr>
          <w:rFonts w:ascii="ＭＳ 明朝" w:eastAsia="ＭＳ 明朝" w:cs="ＭＳ 明朝" w:hint="eastAsia"/>
          <w:spacing w:val="10"/>
          <w:kern w:val="0"/>
          <w:sz w:val="22"/>
          <w:lang w:val="ja-JP"/>
        </w:rPr>
        <w:t>年３月</w:t>
      </w:r>
      <w:r>
        <w:rPr>
          <w:rFonts w:ascii="ＭＳ 明朝" w:eastAsia="ＭＳ 明朝" w:cs="ＭＳ 明朝"/>
          <w:spacing w:val="10"/>
          <w:kern w:val="0"/>
          <w:sz w:val="22"/>
          <w:lang w:val="ja-JP"/>
        </w:rPr>
        <w:t>29</w:t>
      </w:r>
      <w:r>
        <w:rPr>
          <w:rFonts w:ascii="ＭＳ 明朝" w:eastAsia="ＭＳ 明朝" w:cs="ＭＳ 明朝" w:hint="eastAsia"/>
          <w:spacing w:val="10"/>
          <w:kern w:val="0"/>
          <w:sz w:val="22"/>
          <w:lang w:val="ja-JP"/>
        </w:rPr>
        <w:t>日要領第３号</w:t>
      </w:r>
    </w:p>
    <w:p>
      <w:pPr>
        <w:autoSpaceDE w:val="0"/>
        <w:autoSpaceDN w:val="0"/>
        <w:adjustRightInd w:val="0"/>
        <w:spacing w:line="485" w:lineRule="atLeast"/>
        <w:ind w:left="192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改正</w:t>
      </w:r>
    </w:p>
    <w:p>
      <w:pPr>
        <w:autoSpaceDE w:val="0"/>
        <w:autoSpaceDN w:val="0"/>
        <w:adjustRightInd w:val="0"/>
        <w:spacing w:line="485" w:lineRule="atLeast"/>
        <w:ind w:left="288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令和８年２月</w:t>
      </w:r>
      <w:r>
        <w:rPr>
          <w:rFonts w:ascii="ＭＳ 明朝" w:eastAsia="ＭＳ 明朝" w:cs="ＭＳ 明朝"/>
          <w:spacing w:val="10"/>
          <w:kern w:val="0"/>
          <w:sz w:val="22"/>
          <w:lang w:val="ja-JP"/>
        </w:rPr>
        <w:t>13</w:t>
      </w:r>
      <w:r>
        <w:rPr>
          <w:rFonts w:ascii="ＭＳ 明朝" w:eastAsia="ＭＳ 明朝" w:cs="ＭＳ 明朝" w:hint="eastAsia"/>
          <w:spacing w:val="10"/>
          <w:kern w:val="0"/>
          <w:sz w:val="22"/>
          <w:lang w:val="ja-JP"/>
        </w:rPr>
        <w:t>日要領第１号</w:t>
      </w:r>
    </w:p>
    <w:p>
      <w:pPr>
        <w:autoSpaceDE w:val="0"/>
        <w:autoSpaceDN w:val="0"/>
        <w:adjustRightInd w:val="0"/>
        <w:spacing w:line="485" w:lineRule="atLeast"/>
        <w:ind w:left="72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大野城市飲用井戸等衛生対策実施要領</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（目的）</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第１条</w:t>
      </w:r>
      <w:r>
        <w:rPr>
          <w:rFonts w:ascii="ＭＳ 明朝" w:eastAsia="ＭＳ 明朝" w:cs="ＭＳ 明朝" w:hint="eastAsia"/>
          <w:spacing w:val="10"/>
          <w:kern w:val="0"/>
          <w:sz w:val="22"/>
          <w:lang w:val="ja-JP"/>
        </w:rPr>
        <w:t xml:space="preserve">　この要領は、飲用水を供給する井戸等の給水施設（以下「飲用井戸等」という。）の適正な管理、水質に関する定期的な検査、汚染時における措置及び飲用に関する指導に関して必要な事項を定めることにより、飲用井戸等の総合的な衛生の確保を図ることを目的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（基本方針）</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第２条</w:t>
      </w:r>
      <w:r>
        <w:rPr>
          <w:rFonts w:ascii="ＭＳ 明朝" w:eastAsia="ＭＳ 明朝" w:cs="ＭＳ 明朝" w:hint="eastAsia"/>
          <w:spacing w:val="10"/>
          <w:kern w:val="0"/>
          <w:sz w:val="22"/>
          <w:lang w:val="ja-JP"/>
        </w:rPr>
        <w:t xml:space="preserve">　飲用井戸等の衛生の確保は、飲用井戸等を設置しようとする者又は飲用井戸等の設置者若しくは管理者（以下「設置者等」という。）が自らの責任において実施するものとする。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２　市長は、飲用井戸等の管理における衛生確保が図られるよう設置者等に対し、適正な管理の指導及び助言を行うものとする。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（対象施設）</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第３条</w:t>
      </w:r>
      <w:r>
        <w:rPr>
          <w:rFonts w:ascii="ＭＳ 明朝" w:eastAsia="ＭＳ 明朝" w:cs="ＭＳ 明朝" w:hint="eastAsia"/>
          <w:spacing w:val="10"/>
          <w:kern w:val="0"/>
          <w:sz w:val="22"/>
          <w:lang w:val="ja-JP"/>
        </w:rPr>
        <w:t xml:space="preserve">　この要領において対象とする施設は、水道法（昭和</w:t>
      </w:r>
      <w:r>
        <w:rPr>
          <w:rFonts w:ascii="ＭＳ 明朝" w:eastAsia="ＭＳ 明朝" w:cs="ＭＳ 明朝"/>
          <w:spacing w:val="10"/>
          <w:kern w:val="0"/>
          <w:sz w:val="22"/>
          <w:lang w:val="ja-JP"/>
        </w:rPr>
        <w:t>32</w:t>
      </w:r>
      <w:r>
        <w:rPr>
          <w:rFonts w:ascii="ＭＳ 明朝" w:eastAsia="ＭＳ 明朝" w:cs="ＭＳ 明朝" w:hint="eastAsia"/>
          <w:spacing w:val="10"/>
          <w:kern w:val="0"/>
          <w:sz w:val="22"/>
          <w:lang w:val="ja-JP"/>
        </w:rPr>
        <w:t>年法律第</w:t>
      </w:r>
      <w:r>
        <w:rPr>
          <w:rFonts w:ascii="ＭＳ 明朝" w:eastAsia="ＭＳ 明朝" w:cs="ＭＳ 明朝"/>
          <w:spacing w:val="10"/>
          <w:kern w:val="0"/>
          <w:sz w:val="22"/>
          <w:lang w:val="ja-JP"/>
        </w:rPr>
        <w:t>177</w:t>
      </w:r>
      <w:r>
        <w:rPr>
          <w:rFonts w:ascii="ＭＳ 明朝" w:eastAsia="ＭＳ 明朝" w:cs="ＭＳ 明朝" w:hint="eastAsia"/>
          <w:spacing w:val="10"/>
          <w:kern w:val="0"/>
          <w:sz w:val="22"/>
          <w:lang w:val="ja-JP"/>
        </w:rPr>
        <w:t>号）、建築物における衛生的環境の確保に関する法律（昭和</w:t>
      </w:r>
      <w:r>
        <w:rPr>
          <w:rFonts w:ascii="ＭＳ 明朝" w:eastAsia="ＭＳ 明朝" w:cs="ＭＳ 明朝"/>
          <w:spacing w:val="10"/>
          <w:kern w:val="0"/>
          <w:sz w:val="22"/>
          <w:lang w:val="ja-JP"/>
        </w:rPr>
        <w:t>45</w:t>
      </w:r>
      <w:r>
        <w:rPr>
          <w:rFonts w:ascii="ＭＳ 明朝" w:eastAsia="ＭＳ 明朝" w:cs="ＭＳ 明朝" w:hint="eastAsia"/>
          <w:spacing w:val="10"/>
          <w:kern w:val="0"/>
          <w:sz w:val="22"/>
          <w:lang w:val="ja-JP"/>
        </w:rPr>
        <w:t>年法律第</w:t>
      </w:r>
      <w:r>
        <w:rPr>
          <w:rFonts w:ascii="ＭＳ 明朝" w:eastAsia="ＭＳ 明朝" w:cs="ＭＳ 明朝"/>
          <w:spacing w:val="10"/>
          <w:kern w:val="0"/>
          <w:sz w:val="22"/>
          <w:lang w:val="ja-JP"/>
        </w:rPr>
        <w:t>20</w:t>
      </w:r>
      <w:r>
        <w:rPr>
          <w:rFonts w:ascii="ＭＳ 明朝" w:eastAsia="ＭＳ 明朝" w:cs="ＭＳ 明朝" w:hint="eastAsia"/>
          <w:spacing w:val="10"/>
          <w:kern w:val="0"/>
          <w:sz w:val="22"/>
          <w:lang w:val="ja-JP"/>
        </w:rPr>
        <w:t>号）、旅館業法（昭和</w:t>
      </w:r>
      <w:r>
        <w:rPr>
          <w:rFonts w:ascii="ＭＳ 明朝" w:eastAsia="ＭＳ 明朝" w:cs="ＭＳ 明朝"/>
          <w:spacing w:val="10"/>
          <w:kern w:val="0"/>
          <w:sz w:val="22"/>
          <w:lang w:val="ja-JP"/>
        </w:rPr>
        <w:t>23</w:t>
      </w:r>
      <w:r>
        <w:rPr>
          <w:rFonts w:ascii="ＭＳ 明朝" w:eastAsia="ＭＳ 明朝" w:cs="ＭＳ 明朝" w:hint="eastAsia"/>
          <w:spacing w:val="10"/>
          <w:kern w:val="0"/>
          <w:sz w:val="22"/>
          <w:lang w:val="ja-JP"/>
        </w:rPr>
        <w:t>年法律第</w:t>
      </w:r>
      <w:r>
        <w:rPr>
          <w:rFonts w:ascii="ＭＳ 明朝" w:eastAsia="ＭＳ 明朝" w:cs="ＭＳ 明朝"/>
          <w:spacing w:val="10"/>
          <w:kern w:val="0"/>
          <w:sz w:val="22"/>
          <w:lang w:val="ja-JP"/>
        </w:rPr>
        <w:t>138</w:t>
      </w:r>
      <w:r>
        <w:rPr>
          <w:rFonts w:ascii="ＭＳ 明朝" w:eastAsia="ＭＳ 明朝" w:cs="ＭＳ 明朝" w:hint="eastAsia"/>
          <w:spacing w:val="10"/>
          <w:kern w:val="0"/>
          <w:sz w:val="22"/>
          <w:lang w:val="ja-JP"/>
        </w:rPr>
        <w:t>号）及び公衆浴場法（昭和</w:t>
      </w:r>
      <w:r>
        <w:rPr>
          <w:rFonts w:ascii="ＭＳ 明朝" w:eastAsia="ＭＳ 明朝" w:cs="ＭＳ 明朝"/>
          <w:spacing w:val="10"/>
          <w:kern w:val="0"/>
          <w:sz w:val="22"/>
          <w:lang w:val="ja-JP"/>
        </w:rPr>
        <w:t>23</w:t>
      </w:r>
      <w:r>
        <w:rPr>
          <w:rFonts w:ascii="ＭＳ 明朝" w:eastAsia="ＭＳ 明朝" w:cs="ＭＳ 明朝" w:hint="eastAsia"/>
          <w:spacing w:val="10"/>
          <w:kern w:val="0"/>
          <w:sz w:val="22"/>
          <w:lang w:val="ja-JP"/>
        </w:rPr>
        <w:t>年法律第</w:t>
      </w:r>
      <w:r>
        <w:rPr>
          <w:rFonts w:ascii="ＭＳ 明朝" w:eastAsia="ＭＳ 明朝" w:cs="ＭＳ 明朝"/>
          <w:spacing w:val="10"/>
          <w:kern w:val="0"/>
          <w:sz w:val="22"/>
          <w:lang w:val="ja-JP"/>
        </w:rPr>
        <w:t>139</w:t>
      </w:r>
      <w:r>
        <w:rPr>
          <w:rFonts w:ascii="ＭＳ 明朝" w:eastAsia="ＭＳ 明朝" w:cs="ＭＳ 明朝" w:hint="eastAsia"/>
          <w:spacing w:val="10"/>
          <w:kern w:val="0"/>
          <w:sz w:val="22"/>
          <w:lang w:val="ja-JP"/>
        </w:rPr>
        <w:t>号）の適用を受けない次に掲げる施設とする。</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個人住宅、寄宿舎、社宅、共同住宅等に居住する者に対する飲用井戸等（導水管を含む。以下「一般飲用井戸」という。）</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官公庁、学校、病院、店舗、工場その他の事業所等に対する飲用井戸等（導水管を含む。以下「業務用飲用井戸」という。）</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３</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水道事業の用に供する水道から供給を受ける水のみを水源とする小規模貯水槽及びその他の水道から供給を受ける水のみを水源とする小規模受水槽を有する施設（以下「小規模受水槽水道」という。）</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（清潔の保持）</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第４条</w:t>
      </w:r>
      <w:r>
        <w:rPr>
          <w:rFonts w:ascii="ＭＳ 明朝" w:eastAsia="ＭＳ 明朝" w:cs="ＭＳ 明朝" w:hint="eastAsia"/>
          <w:spacing w:val="10"/>
          <w:kern w:val="0"/>
          <w:sz w:val="22"/>
          <w:lang w:val="ja-JP"/>
        </w:rPr>
        <w:t xml:space="preserve">　設置者等は、次に掲げる事項の実施に努めなければならない。</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lastRenderedPageBreak/>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飲用井戸等を新たに設置する場合は、汚染防止のため、その設置場所、設備等に十分配慮すること。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飲用井戸等及びその周辺にみだりに人や動物が入らないように適切な措置を講じること。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３</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飲用井戸等の構造（井筒、ケーシング、ポンプ、吸込管、弁類、井戸の蓋、水槽等）及び井戸周辺の点検を定期的に行い、汚染源に対する防護措置を講じるとともに、清潔保持に努めること。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４</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小規模受水槽水道にあっては、定期的に受水槽の損傷等の有無について点検を行うとともに受水槽の清掃を１年以内ごとに１回行うこと。</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（飲用井戸等の使用開始前の検査）</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第５条</w:t>
      </w:r>
      <w:r>
        <w:rPr>
          <w:rFonts w:ascii="ＭＳ 明朝" w:eastAsia="ＭＳ 明朝" w:cs="ＭＳ 明朝" w:hint="eastAsia"/>
          <w:spacing w:val="10"/>
          <w:kern w:val="0"/>
          <w:sz w:val="22"/>
          <w:lang w:val="ja-JP"/>
        </w:rPr>
        <w:t xml:space="preserve">　設置者等は、飲用井戸等の使用を開始する前に、水質基準に関する省令（平成</w:t>
      </w:r>
      <w:r>
        <w:rPr>
          <w:rFonts w:ascii="ＭＳ 明朝" w:eastAsia="ＭＳ 明朝" w:cs="ＭＳ 明朝"/>
          <w:spacing w:val="10"/>
          <w:kern w:val="0"/>
          <w:sz w:val="22"/>
          <w:lang w:val="ja-JP"/>
        </w:rPr>
        <w:t>15</w:t>
      </w:r>
      <w:r>
        <w:rPr>
          <w:rFonts w:ascii="ＭＳ 明朝" w:eastAsia="ＭＳ 明朝" w:cs="ＭＳ 明朝" w:hint="eastAsia"/>
          <w:spacing w:val="10"/>
          <w:kern w:val="0"/>
          <w:sz w:val="22"/>
          <w:lang w:val="ja-JP"/>
        </w:rPr>
        <w:t>年厚生労働省令第</w:t>
      </w:r>
      <w:r>
        <w:rPr>
          <w:rFonts w:ascii="ＭＳ 明朝" w:eastAsia="ＭＳ 明朝" w:cs="ＭＳ 明朝"/>
          <w:spacing w:val="10"/>
          <w:kern w:val="0"/>
          <w:sz w:val="22"/>
          <w:lang w:val="ja-JP"/>
        </w:rPr>
        <w:t>101</w:t>
      </w:r>
      <w:r>
        <w:rPr>
          <w:rFonts w:ascii="ＭＳ 明朝" w:eastAsia="ＭＳ 明朝" w:cs="ＭＳ 明朝" w:hint="eastAsia"/>
          <w:spacing w:val="10"/>
          <w:kern w:val="0"/>
          <w:sz w:val="22"/>
          <w:lang w:val="ja-JP"/>
        </w:rPr>
        <w:t>号）の規定に準ずる内容により検査を行い、これに適合することを確認するものとする。ただし、次の各号に掲げる場合に該当するときは、当該各号に定める項目に係る検査を省略することができる。</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消毒を行っていない場合又は周辺の地下水等から消毒副生成物（塩素酸、クロロ酢酸、クロロホルム、ジクロロ酢酸、ジブロモクロロメタン、臭素酸、総トリハロメタン、トリクロロ酢酸、ブロモジクロロメタン、ブロモホルム及びホルムアルデヒドをいう。以下この号において同じ。）が検出されていない場合　消毒副生成物の各項目</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湖沼等の停滞水を水源としていない場合　（４Ｓ，４ａＳ，８ａＲ）－オクタヒドロ－</w:t>
      </w:r>
      <w:r>
        <w:rPr>
          <w:rFonts w:ascii="ＭＳ 明朝" w:eastAsia="ＭＳ 明朝" w:cs="ＭＳ 明朝"/>
          <w:spacing w:val="10"/>
          <w:kern w:val="0"/>
          <w:sz w:val="22"/>
          <w:lang w:val="ja-JP"/>
        </w:rPr>
        <w:t>4,8</w:t>
      </w:r>
      <w:r>
        <w:rPr>
          <w:rFonts w:ascii="ＭＳ 明朝" w:eastAsia="ＭＳ 明朝" w:cs="ＭＳ 明朝" w:hint="eastAsia"/>
          <w:spacing w:val="10"/>
          <w:kern w:val="0"/>
          <w:sz w:val="22"/>
          <w:lang w:val="ja-JP"/>
        </w:rPr>
        <w:t>ａ－ジメチルナフタレン－４ａ（２Ｈ）－オール（別名ジェオスミン）及び</w:t>
      </w:r>
      <w:r>
        <w:rPr>
          <w:rFonts w:ascii="ＭＳ 明朝" w:eastAsia="ＭＳ 明朝" w:cs="ＭＳ 明朝"/>
          <w:spacing w:val="10"/>
          <w:kern w:val="0"/>
          <w:sz w:val="22"/>
          <w:lang w:val="ja-JP"/>
        </w:rPr>
        <w:t>1,2,7,7</w:t>
      </w:r>
      <w:r>
        <w:rPr>
          <w:rFonts w:ascii="ＭＳ 明朝" w:eastAsia="ＭＳ 明朝" w:cs="ＭＳ 明朝" w:hint="eastAsia"/>
          <w:spacing w:val="10"/>
          <w:kern w:val="0"/>
          <w:sz w:val="22"/>
          <w:lang w:val="ja-JP"/>
        </w:rPr>
        <w:t>－テトラメチルビシクロ［</w:t>
      </w:r>
      <w:r>
        <w:rPr>
          <w:rFonts w:ascii="ＭＳ 明朝" w:eastAsia="ＭＳ 明朝" w:cs="ＭＳ 明朝"/>
          <w:spacing w:val="10"/>
          <w:kern w:val="0"/>
          <w:sz w:val="22"/>
          <w:lang w:val="ja-JP"/>
        </w:rPr>
        <w:t>2,2,1</w:t>
      </w:r>
      <w:r>
        <w:rPr>
          <w:rFonts w:ascii="ＭＳ 明朝" w:eastAsia="ＭＳ 明朝" w:cs="ＭＳ 明朝" w:hint="eastAsia"/>
          <w:spacing w:val="10"/>
          <w:kern w:val="0"/>
          <w:sz w:val="22"/>
          <w:lang w:val="ja-JP"/>
        </w:rPr>
        <w:t>］ヘプタン－２－オール（別名２－メチルイソボルネオール）の項目</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（定期の検査）</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第６条</w:t>
      </w:r>
      <w:r>
        <w:rPr>
          <w:rFonts w:ascii="ＭＳ 明朝" w:eastAsia="ＭＳ 明朝" w:cs="ＭＳ 明朝" w:hint="eastAsia"/>
          <w:spacing w:val="10"/>
          <w:kern w:val="0"/>
          <w:sz w:val="22"/>
          <w:lang w:val="ja-JP"/>
        </w:rPr>
        <w:t xml:space="preserve">　設置者等は、次の項目の水質検査を１年以内ごとに１回行うものとする。</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水質基準に関する省令のうち、一般細菌、大腸菌、亜硝酸態窒素、硝酸態窒素及び亜硝酸態窒素、塩化物イオン、有機物（全有機炭素（ＴＯＣ）の量）、ｐＨ値、味、臭気、色度及び濁度</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テトラクロロエチレン、トリクロロエチレン等の有機溶剤、ペルフルオロオクタンスルホン酸（以下「ＰＦＯＳ」という。）及びペルフルオロオクタン酸（以下「Ｐ</w:t>
      </w:r>
      <w:r>
        <w:rPr>
          <w:rFonts w:ascii="ＭＳ 明朝" w:eastAsia="ＭＳ 明朝" w:cs="ＭＳ 明朝" w:hint="eastAsia"/>
          <w:spacing w:val="10"/>
          <w:kern w:val="0"/>
          <w:sz w:val="22"/>
          <w:lang w:val="ja-JP"/>
        </w:rPr>
        <w:lastRenderedPageBreak/>
        <w:t>ＦＯＡ」という。）その他水質基準項目のうち、周辺の水質検査結果等から判断して必要となる項目</w:t>
      </w:r>
      <w:r>
        <w:rPr>
          <w:rFonts w:ascii="ＭＳ 明朝" w:eastAsia="ＭＳ 明朝" w:cs="ＭＳ 明朝"/>
          <w:spacing w:val="10"/>
          <w:kern w:val="0"/>
          <w:sz w:val="22"/>
          <w:lang w:val="ja-JP"/>
        </w:rPr>
        <w:t xml:space="preserve"> </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３</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小規模受水槽水道にあっては、味、臭気、色度、濁度及び残留塩素並びに施設の外観検査等</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（臨時の検査）</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第７条</w:t>
      </w:r>
      <w:r>
        <w:rPr>
          <w:rFonts w:ascii="ＭＳ 明朝" w:eastAsia="ＭＳ 明朝" w:cs="ＭＳ 明朝" w:hint="eastAsia"/>
          <w:spacing w:val="10"/>
          <w:kern w:val="0"/>
          <w:sz w:val="22"/>
          <w:lang w:val="ja-JP"/>
        </w:rPr>
        <w:t xml:space="preserve">　設置者等は、飲用井戸等から給水される水に異常を認めたときは、速やかに必要な項目について水質検査を行うものとする。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２　設置者等は、前条の規定にかかわらず、飲用井戸等の周辺環境が大きく変化したとき、その他臨時の検査が必要と認められるときは、第５条の規定に準じて、水質基準項目検査を実施するものとする。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（水質検査機関）</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第８条</w:t>
      </w:r>
      <w:r>
        <w:rPr>
          <w:rFonts w:ascii="ＭＳ 明朝" w:eastAsia="ＭＳ 明朝" w:cs="ＭＳ 明朝" w:hint="eastAsia"/>
          <w:spacing w:val="10"/>
          <w:kern w:val="0"/>
          <w:sz w:val="22"/>
          <w:lang w:val="ja-JP"/>
        </w:rPr>
        <w:t xml:space="preserve">　設置者等は、水質検査を他の者に依頼して行う場合には、次に掲げる検査機関に依頼するものとする。</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水道法第</w:t>
      </w:r>
      <w:r>
        <w:rPr>
          <w:rFonts w:ascii="ＭＳ 明朝" w:eastAsia="ＭＳ 明朝" w:cs="ＭＳ 明朝"/>
          <w:spacing w:val="10"/>
          <w:kern w:val="0"/>
          <w:sz w:val="22"/>
          <w:lang w:val="ja-JP"/>
        </w:rPr>
        <w:t>20</w:t>
      </w:r>
      <w:r>
        <w:rPr>
          <w:rFonts w:ascii="ＭＳ 明朝" w:eastAsia="ＭＳ 明朝" w:cs="ＭＳ 明朝" w:hint="eastAsia"/>
          <w:spacing w:val="10"/>
          <w:kern w:val="0"/>
          <w:sz w:val="22"/>
          <w:lang w:val="ja-JP"/>
        </w:rPr>
        <w:t>条第３項に規定する国土交通大臣及び環境大臣の登録を受けた者</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水道法第</w:t>
      </w:r>
      <w:r>
        <w:rPr>
          <w:rFonts w:ascii="ＭＳ 明朝" w:eastAsia="ＭＳ 明朝" w:cs="ＭＳ 明朝"/>
          <w:spacing w:val="10"/>
          <w:kern w:val="0"/>
          <w:sz w:val="22"/>
          <w:lang w:val="ja-JP"/>
        </w:rPr>
        <w:t>34</w:t>
      </w:r>
      <w:r>
        <w:rPr>
          <w:rFonts w:ascii="ＭＳ 明朝" w:eastAsia="ＭＳ 明朝" w:cs="ＭＳ 明朝" w:hint="eastAsia"/>
          <w:spacing w:val="10"/>
          <w:kern w:val="0"/>
          <w:sz w:val="22"/>
          <w:lang w:val="ja-JP"/>
        </w:rPr>
        <w:t>条の２第２項に規定する国土交通大臣及び環境大臣の登録を受けた者</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３</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建築物における衛生的環境の確保に関する法律第</w:t>
      </w:r>
      <w:r>
        <w:rPr>
          <w:rFonts w:ascii="ＭＳ 明朝" w:eastAsia="ＭＳ 明朝" w:cs="ＭＳ 明朝"/>
          <w:spacing w:val="10"/>
          <w:kern w:val="0"/>
          <w:sz w:val="22"/>
          <w:lang w:val="ja-JP"/>
        </w:rPr>
        <w:t>12</w:t>
      </w:r>
      <w:r>
        <w:rPr>
          <w:rFonts w:ascii="ＭＳ 明朝" w:eastAsia="ＭＳ 明朝" w:cs="ＭＳ 明朝" w:hint="eastAsia"/>
          <w:spacing w:val="10"/>
          <w:kern w:val="0"/>
          <w:sz w:val="22"/>
          <w:lang w:val="ja-JP"/>
        </w:rPr>
        <w:t>条の２第１項の規定により建築物における飲料水の水質検査を行う事業について登録を受けた者</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（汚染が判明した場合の措置）</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第９条</w:t>
      </w:r>
      <w:r>
        <w:rPr>
          <w:rFonts w:ascii="ＭＳ 明朝" w:eastAsia="ＭＳ 明朝" w:cs="ＭＳ 明朝" w:hint="eastAsia"/>
          <w:spacing w:val="10"/>
          <w:kern w:val="0"/>
          <w:sz w:val="22"/>
          <w:lang w:val="ja-JP"/>
        </w:rPr>
        <w:t xml:space="preserve">　設置者等は、その設置し、又は管理する飲用井戸等により供給される水が、その利用者の健康を害するおそれがあることを知ったときは、直ちに給水を停止し、その旨を当該利用者へ周知するとともに、市長に連絡し、指導を受ける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２　設置者等は、水質検査の結果、水道法に基づく水質基準を超える汚染が判明した場合又はテトラクロロエチレン、トリクロロエチレン等の有機溶剤、ＰＦＯＳ及びＰＦＯＡその他有害物質が検出された場合には、市長に連絡し、指導を受ける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（指導、助言等）</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w:t>
      </w:r>
      <w:r>
        <w:rPr>
          <w:rFonts w:ascii="ＭＳ ゴシック" w:eastAsia="ＭＳ ゴシック" w:cs="ＭＳ ゴシック"/>
          <w:spacing w:val="10"/>
          <w:kern w:val="0"/>
          <w:sz w:val="22"/>
          <w:lang w:val="ja-JP"/>
        </w:rPr>
        <w:t>10</w:t>
      </w:r>
      <w:r>
        <w:rPr>
          <w:rFonts w:ascii="ＭＳ ゴシック" w:eastAsia="ＭＳ ゴシック" w:cs="ＭＳ ゴシック" w:hint="eastAsia"/>
          <w:spacing w:val="10"/>
          <w:kern w:val="0"/>
          <w:sz w:val="22"/>
          <w:lang w:val="ja-JP"/>
        </w:rPr>
        <w:t>条</w:t>
      </w:r>
      <w:r>
        <w:rPr>
          <w:rFonts w:ascii="ＭＳ 明朝" w:eastAsia="ＭＳ 明朝" w:cs="ＭＳ 明朝" w:hint="eastAsia"/>
          <w:spacing w:val="10"/>
          <w:kern w:val="0"/>
          <w:sz w:val="22"/>
          <w:lang w:val="ja-JP"/>
        </w:rPr>
        <w:t xml:space="preserve">　市長は、設置者等及び飲用井戸等の利用者に対し、次に掲げる事項について、指導及び助言を行うとともに、正しい知識の普及や情報の提供に努めるものとする。</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第４条から前条までの規定に基づいた飲用井戸等の適正な維持管理に関すること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前条の規定に基づき設置者等から連絡があった場合の飲用指導に関する次に掲げる事項</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lastRenderedPageBreak/>
        <w:t>ア　給水の停止及び飲用の中止</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イ　水道への切替え、水源の変更及び適正な浄水方法</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ウ　有機溶剤その他有害物質が検出された場合の水質検査の実施</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エ　その他必要な措置</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２　市長は、地下水の汚染が判明した場合は、次に掲げる事項を実施する。</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設置者等及び飲用井戸等の利用者に対し、次に掲げる事項を調査し、別記様式による報告書により筑紫保健福祉環境事務所に報告すること。</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ア　設置者等の住所及び氏名</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イ　汚染された飲用井戸の設置場所</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ウ　汚染された飲用井戸の規模等（水源種別、利用形態、使用人員）</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エ　汚染判明日時</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オ　汚染原因物質名及びその濃度</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現地を調査し、次に掲げる事項を実施すること。</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ア　汚染経路及び汚染原因の究明</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イ　周辺の飲用井戸等の汚染範囲の推定</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３</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設置者等及び飲用井戸等の利用者に対し、次に掲げる事項を実施すること。</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ア　汚染原因除去の指導</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イ　飲用水の衛生確保に関する適切な指導及び助言</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３　市長は、小規模受水槽水道に関して、検査の結果、衛生上問題がある旨の報告を設置者等から受けた場合は、速やかに現地調査を行い、設置者等に対して施設の改善、清掃の実施等適切な指導及び助言を行う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（委任）</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w:t>
      </w:r>
      <w:r>
        <w:rPr>
          <w:rFonts w:ascii="ＭＳ ゴシック" w:eastAsia="ＭＳ ゴシック" w:cs="ＭＳ ゴシック"/>
          <w:spacing w:val="10"/>
          <w:kern w:val="0"/>
          <w:sz w:val="22"/>
          <w:lang w:val="ja-JP"/>
        </w:rPr>
        <w:t>11</w:t>
      </w:r>
      <w:r>
        <w:rPr>
          <w:rFonts w:ascii="ＭＳ ゴシック" w:eastAsia="ＭＳ ゴシック" w:cs="ＭＳ ゴシック" w:hint="eastAsia"/>
          <w:spacing w:val="10"/>
          <w:kern w:val="0"/>
          <w:sz w:val="22"/>
          <w:lang w:val="ja-JP"/>
        </w:rPr>
        <w:t>条</w:t>
      </w:r>
      <w:r>
        <w:rPr>
          <w:rFonts w:ascii="ＭＳ 明朝" w:eastAsia="ＭＳ 明朝" w:cs="ＭＳ 明朝" w:hint="eastAsia"/>
          <w:spacing w:val="10"/>
          <w:kern w:val="0"/>
          <w:sz w:val="22"/>
          <w:lang w:val="ja-JP"/>
        </w:rPr>
        <w:t xml:space="preserve">　この要領に定めるもののほか必要な事項は、市長が別に定める。</w:t>
      </w:r>
    </w:p>
    <w:p>
      <w:pPr>
        <w:autoSpaceDE w:val="0"/>
        <w:autoSpaceDN w:val="0"/>
        <w:adjustRightInd w:val="0"/>
        <w:spacing w:line="485" w:lineRule="atLeast"/>
        <w:ind w:left="72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附　則</w:t>
      </w:r>
    </w:p>
    <w:p>
      <w:pPr>
        <w:autoSpaceDE w:val="0"/>
        <w:autoSpaceDN w:val="0"/>
        <w:adjustRightInd w:val="0"/>
        <w:spacing w:line="485" w:lineRule="atLeast"/>
        <w:ind w:firstLine="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この要領は、平成</w:t>
      </w:r>
      <w:r>
        <w:rPr>
          <w:rFonts w:ascii="ＭＳ 明朝" w:eastAsia="ＭＳ 明朝" w:cs="ＭＳ 明朝"/>
          <w:spacing w:val="10"/>
          <w:kern w:val="0"/>
          <w:sz w:val="22"/>
          <w:lang w:val="ja-JP"/>
        </w:rPr>
        <w:t>25</w:t>
      </w:r>
      <w:r>
        <w:rPr>
          <w:rFonts w:ascii="ＭＳ 明朝" w:eastAsia="ＭＳ 明朝" w:cs="ＭＳ 明朝" w:hint="eastAsia"/>
          <w:spacing w:val="10"/>
          <w:kern w:val="0"/>
          <w:sz w:val="22"/>
          <w:lang w:val="ja-JP"/>
        </w:rPr>
        <w:t>年４月１日から施行する。</w:t>
      </w:r>
    </w:p>
    <w:p>
      <w:pPr>
        <w:autoSpaceDE w:val="0"/>
        <w:autoSpaceDN w:val="0"/>
        <w:adjustRightInd w:val="0"/>
        <w:spacing w:line="485" w:lineRule="atLeast"/>
        <w:ind w:left="1680" w:hanging="96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附　則</w:t>
      </w:r>
      <w:r>
        <w:rPr>
          <w:rFonts w:ascii="ＭＳ 明朝" w:eastAsia="ＭＳ 明朝" w:cs="ＭＳ 明朝" w:hint="eastAsia"/>
          <w:spacing w:val="10"/>
          <w:kern w:val="0"/>
          <w:sz w:val="22"/>
          <w:lang w:val="ja-JP"/>
        </w:rPr>
        <w:t>（令和６年４月</w:t>
      </w:r>
      <w:r>
        <w:rPr>
          <w:rFonts w:ascii="ＭＳ 明朝" w:eastAsia="ＭＳ 明朝" w:cs="ＭＳ 明朝"/>
          <w:spacing w:val="10"/>
          <w:kern w:val="0"/>
          <w:sz w:val="22"/>
          <w:lang w:val="ja-JP"/>
        </w:rPr>
        <w:t>22</w:t>
      </w:r>
      <w:r>
        <w:rPr>
          <w:rFonts w:ascii="ＭＳ 明朝" w:eastAsia="ＭＳ 明朝" w:cs="ＭＳ 明朝" w:hint="eastAsia"/>
          <w:spacing w:val="10"/>
          <w:kern w:val="0"/>
          <w:sz w:val="22"/>
          <w:lang w:val="ja-JP"/>
        </w:rPr>
        <w:t>日要領第２号）</w:t>
      </w:r>
    </w:p>
    <w:p>
      <w:pPr>
        <w:autoSpaceDE w:val="0"/>
        <w:autoSpaceDN w:val="0"/>
        <w:adjustRightInd w:val="0"/>
        <w:spacing w:line="485" w:lineRule="atLeast"/>
        <w:ind w:firstLine="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この要領は、令和６年４月</w:t>
      </w:r>
      <w:r>
        <w:rPr>
          <w:rFonts w:ascii="ＭＳ 明朝" w:eastAsia="ＭＳ 明朝" w:cs="ＭＳ 明朝"/>
          <w:spacing w:val="10"/>
          <w:kern w:val="0"/>
          <w:sz w:val="22"/>
          <w:lang w:val="ja-JP"/>
        </w:rPr>
        <w:t>22</w:t>
      </w:r>
      <w:r>
        <w:rPr>
          <w:rFonts w:ascii="ＭＳ 明朝" w:eastAsia="ＭＳ 明朝" w:cs="ＭＳ 明朝" w:hint="eastAsia"/>
          <w:spacing w:val="10"/>
          <w:kern w:val="0"/>
          <w:sz w:val="22"/>
          <w:lang w:val="ja-JP"/>
        </w:rPr>
        <w:t>日から施行する。</w:t>
      </w:r>
    </w:p>
    <w:p>
      <w:pPr>
        <w:autoSpaceDE w:val="0"/>
        <w:autoSpaceDN w:val="0"/>
        <w:adjustRightInd w:val="0"/>
        <w:spacing w:line="485" w:lineRule="atLeast"/>
        <w:ind w:left="1680" w:hanging="96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附　則</w:t>
      </w:r>
      <w:r>
        <w:rPr>
          <w:rFonts w:ascii="ＭＳ 明朝" w:eastAsia="ＭＳ 明朝" w:cs="ＭＳ 明朝" w:hint="eastAsia"/>
          <w:spacing w:val="10"/>
          <w:kern w:val="0"/>
          <w:sz w:val="22"/>
          <w:lang w:val="ja-JP"/>
        </w:rPr>
        <w:t>（令和８年２月</w:t>
      </w:r>
      <w:r>
        <w:rPr>
          <w:rFonts w:ascii="ＭＳ 明朝" w:eastAsia="ＭＳ 明朝" w:cs="ＭＳ 明朝"/>
          <w:spacing w:val="10"/>
          <w:kern w:val="0"/>
          <w:sz w:val="22"/>
          <w:lang w:val="ja-JP"/>
        </w:rPr>
        <w:t>13</w:t>
      </w:r>
      <w:r>
        <w:rPr>
          <w:rFonts w:ascii="ＭＳ 明朝" w:eastAsia="ＭＳ 明朝" w:cs="ＭＳ 明朝" w:hint="eastAsia"/>
          <w:spacing w:val="10"/>
          <w:kern w:val="0"/>
          <w:sz w:val="22"/>
          <w:lang w:val="ja-JP"/>
        </w:rPr>
        <w:t>日要領第１号）</w:t>
      </w:r>
    </w:p>
    <w:p>
      <w:pPr>
        <w:autoSpaceDE w:val="0"/>
        <w:autoSpaceDN w:val="0"/>
        <w:adjustRightInd w:val="0"/>
        <w:spacing w:line="485" w:lineRule="atLeast"/>
        <w:ind w:firstLine="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この要領は、令和８年４月１日から施行する。</w:t>
      </w:r>
    </w:p>
    <w:sectPr>
      <w:footerReference w:type="default" r:id="rId6"/>
      <w:pgSz w:w="11906" w:h="16838"/>
      <w:pgMar w:top="1140" w:right="1140" w:bottom="1140" w:left="11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6492BB0-FA7A-4621-BCB6-C7E75E6E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秀雄</dc:creator>
  <cp:keywords/>
  <dc:description/>
  <cp:lastModifiedBy>山田 衛亮</cp:lastModifiedBy>
  <cp:revision>2</cp:revision>
  <dcterms:created xsi:type="dcterms:W3CDTF">2026-03-19T02:07:00Z</dcterms:created>
  <dcterms:modified xsi:type="dcterms:W3CDTF">2026-03-19T02:07:00Z</dcterms:modified>
</cp:coreProperties>
</file>