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jc w:val="center"/>
        <w:rPr>
          <w:rFonts w:ascii="HGPｺﾞｼｯｸM" w:eastAsia="HGPｺﾞｼｯｸM" w:hAnsi="ＭＳ ゴシック"/>
          <w:color w:val="000000" w:themeColor="text1"/>
          <w:sz w:val="32"/>
          <w:szCs w:val="32"/>
        </w:rPr>
      </w:pPr>
      <w:r>
        <w:rPr>
          <w:rFonts w:ascii="HGPｺﾞｼｯｸM" w:eastAsia="HGPｺﾞｼｯｸM" w:hAnsi="ＭＳ ゴシック" w:hint="eastAsia"/>
          <w:color w:val="000000" w:themeColor="text1"/>
          <w:sz w:val="32"/>
          <w:szCs w:val="32"/>
        </w:rPr>
        <w:t>令和７年度大野城市会計年度任用職員（文化財啓発整備学芸員）募集要項</w:t>
      </w:r>
    </w:p>
    <w:p>
      <w:pPr>
        <w:spacing w:after="0"/>
        <w:jc w:val="center"/>
        <w:rPr>
          <w:rFonts w:ascii="HGPｺﾞｼｯｸM" w:eastAsia="HGPｺﾞｼｯｸM" w:hAnsi="ＭＳ ゴシック"/>
          <w:color w:val="000000" w:themeColor="text1"/>
          <w:sz w:val="36"/>
          <w:szCs w:val="32"/>
        </w:rPr>
      </w:pPr>
    </w:p>
    <w:p>
      <w:pPr>
        <w:spacing w:after="0"/>
        <w:ind w:firstLine="1"/>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１　募集職種・採用予定人数・職務内容</w:t>
      </w:r>
    </w:p>
    <w:tbl>
      <w:tblPr>
        <w:tblStyle w:val="af1"/>
        <w:tblW w:w="10206" w:type="dxa"/>
        <w:tblInd w:w="137" w:type="dxa"/>
        <w:tblLook w:val="04A0" w:firstRow="1" w:lastRow="0" w:firstColumn="1" w:lastColumn="0" w:noHBand="0" w:noVBand="1"/>
      </w:tblPr>
      <w:tblGrid>
        <w:gridCol w:w="2039"/>
        <w:gridCol w:w="1762"/>
        <w:gridCol w:w="6405"/>
      </w:tblGrid>
      <w:tr>
        <w:trPr>
          <w:trHeight w:val="510"/>
        </w:trPr>
        <w:tc>
          <w:tcPr>
            <w:tcW w:w="2039" w:type="dxa"/>
            <w:shd w:val="clear" w:color="auto" w:fill="FFCC99"/>
            <w:vAlign w:val="center"/>
          </w:tcPr>
          <w:p>
            <w:pPr>
              <w:jc w:val="cente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職種</w:t>
            </w:r>
          </w:p>
        </w:tc>
        <w:tc>
          <w:tcPr>
            <w:tcW w:w="1762"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採用予定人数</w:t>
            </w:r>
          </w:p>
        </w:tc>
        <w:tc>
          <w:tcPr>
            <w:tcW w:w="6405" w:type="dxa"/>
            <w:shd w:val="clear" w:color="auto" w:fill="FFCC99"/>
            <w:vAlign w:val="center"/>
          </w:tcPr>
          <w:p>
            <w:pPr>
              <w:jc w:val="cente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職務内容</w:t>
            </w:r>
          </w:p>
        </w:tc>
      </w:tr>
      <w:tr>
        <w:trPr>
          <w:trHeight w:val="851"/>
        </w:trPr>
        <w:tc>
          <w:tcPr>
            <w:tcW w:w="2039" w:type="dxa"/>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文化財啓発整備学芸員</w:t>
            </w:r>
          </w:p>
        </w:tc>
        <w:tc>
          <w:tcPr>
            <w:tcW w:w="1762" w:type="dxa"/>
            <w:vAlign w:val="center"/>
          </w:tcPr>
          <w:p>
            <w:pPr>
              <w:jc w:val="cente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１名</w:t>
            </w:r>
          </w:p>
        </w:tc>
        <w:tc>
          <w:tcPr>
            <w:tcW w:w="6405" w:type="dxa"/>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（業務内容）</w:t>
            </w: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文化財啓発事業、文化財調査（民俗調査等）、心のふるさと館関連事業、出前講座（団体利用対応）、古代山城関連事業、山城楽講育成事業</w:t>
            </w:r>
          </w:p>
        </w:tc>
      </w:tr>
    </w:tbl>
    <w:p>
      <w:pPr>
        <w:spacing w:after="0"/>
        <w:rPr>
          <w:rFonts w:ascii="HGPｺﾞｼｯｸM" w:eastAsia="HGPｺﾞｼｯｸM" w:hAnsi="ＭＳ 明朝"/>
          <w:color w:val="000000" w:themeColor="text1"/>
          <w:sz w:val="24"/>
          <w:szCs w:val="24"/>
        </w:rPr>
      </w:pPr>
    </w:p>
    <w:p>
      <w:pPr>
        <w:spacing w:after="0"/>
        <w:ind w:leftChars="100" w:left="440" w:hangingChars="100" w:hanging="24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※採用試験では、採用人数に関わらず、その業務を行うにあたって合格水準にあると認められる人を全て合格者とし、採用候補者名簿に登録します。</w:t>
      </w:r>
    </w:p>
    <w:p>
      <w:pPr>
        <w:spacing w:after="0"/>
        <w:rPr>
          <w:rFonts w:ascii="HGPｺﾞｼｯｸM" w:eastAsia="HGPｺﾞｼｯｸM" w:hAnsi="ＭＳ 明朝"/>
          <w:color w:val="000000" w:themeColor="text1"/>
          <w:sz w:val="24"/>
          <w:szCs w:val="24"/>
        </w:rPr>
      </w:pPr>
    </w:p>
    <w:p>
      <w:pPr>
        <w:spacing w:after="0"/>
        <w:rPr>
          <w:rFonts w:ascii="HGPｺﾞｼｯｸM" w:eastAsia="HGPｺﾞｼｯｸM" w:hAnsi="ＭＳ 明朝"/>
          <w:color w:val="000000" w:themeColor="text1"/>
          <w:sz w:val="24"/>
          <w:szCs w:val="24"/>
        </w:rPr>
      </w:pPr>
    </w:p>
    <w:p>
      <w:pPr>
        <w:spacing w:after="0"/>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２　基本的な勤務条件</w:t>
      </w:r>
    </w:p>
    <w:tbl>
      <w:tblPr>
        <w:tblStyle w:val="af1"/>
        <w:tblW w:w="10490" w:type="dxa"/>
        <w:tblInd w:w="-5" w:type="dxa"/>
        <w:tblLook w:val="04A0" w:firstRow="1" w:lastRow="0" w:firstColumn="1" w:lastColumn="0" w:noHBand="0" w:noVBand="1"/>
      </w:tblPr>
      <w:tblGrid>
        <w:gridCol w:w="1560"/>
        <w:gridCol w:w="8930"/>
      </w:tblGrid>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任用期間</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採用日から令和８年３月31日まで</w:t>
            </w:r>
          </w:p>
        </w:tc>
      </w:tr>
      <w:tr>
        <w:trPr>
          <w:trHeight w:val="56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勤務日</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週５日以内</w:t>
            </w:r>
          </w:p>
        </w:tc>
      </w:tr>
      <w:tr>
        <w:trPr>
          <w:trHeight w:val="56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勤務時間</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週38時間45分以内（１日７時間45分以内）</w:t>
            </w:r>
          </w:p>
        </w:tc>
      </w:tr>
      <w:tr>
        <w:trPr>
          <w:trHeight w:val="56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勤務場所</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大野城心のふるさと館</w:t>
            </w:r>
          </w:p>
        </w:tc>
      </w:tr>
      <w:tr>
        <w:trPr>
          <w:trHeight w:val="56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勤務形態</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１日７時間45分かつ週５日の勤務</w:t>
            </w:r>
          </w:p>
        </w:tc>
      </w:tr>
      <w:tr>
        <w:trPr>
          <w:trHeight w:val="675"/>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給料・報酬</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専門職（文化財啓発整備学芸員）　月給</w:t>
            </w:r>
            <w:r>
              <w:rPr>
                <w:rFonts w:ascii="メイリオ" w:eastAsia="メイリオ" w:hAnsi="メイリオ" w:hint="eastAsia"/>
                <w:color w:val="000000" w:themeColor="text1"/>
                <w:sz w:val="23"/>
                <w:szCs w:val="23"/>
              </w:rPr>
              <w:t>224,300円～233,300円</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※専門職としての職務経験等により決定されます。</w:t>
            </w:r>
          </w:p>
          <w:p>
            <w:pPr>
              <w:ind w:left="240" w:hangingChars="100" w:hanging="240"/>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※給与改定により額が変わる可能性があります。</w:t>
            </w:r>
          </w:p>
        </w:tc>
      </w:tr>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諸手当</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cs="ＭＳ 明朝" w:hint="eastAsia"/>
                <w:color w:val="000000" w:themeColor="text1"/>
                <w:sz w:val="24"/>
                <w:szCs w:val="24"/>
              </w:rPr>
              <w:t>・</w:t>
            </w:r>
            <w:r>
              <w:rPr>
                <w:rFonts w:ascii="HGPｺﾞｼｯｸM" w:eastAsia="HGPｺﾞｼｯｸM" w:hAnsi="ＭＳ 明朝" w:hint="eastAsia"/>
                <w:color w:val="000000" w:themeColor="text1"/>
                <w:sz w:val="24"/>
                <w:szCs w:val="24"/>
              </w:rPr>
              <w:t>給料・報酬の他に、地域手当６％（令和６年度実績）、時間外勤務手当、通勤手当、退職手当などがそれぞれの条例・規則等に定める条件に当てはまる場合に支給されます。</w:t>
            </w:r>
          </w:p>
          <w:p>
            <w:pPr>
              <w:jc w:val="both"/>
              <w:rPr>
                <w:rFonts w:ascii="HGPｺﾞｼｯｸM" w:eastAsia="HGPｺﾞｼｯｸM" w:hAnsi="ＭＳ 明朝"/>
                <w:color w:val="000000" w:themeColor="text1"/>
                <w:sz w:val="24"/>
              </w:rPr>
            </w:pPr>
            <w:r>
              <w:rPr>
                <w:rFonts w:ascii="HGPｺﾞｼｯｸM" w:eastAsia="HGPｺﾞｼｯｸM" w:hAnsi="ＭＳ 明朝" w:cs="ＭＳ 明朝" w:hint="eastAsia"/>
                <w:color w:val="000000" w:themeColor="text1"/>
                <w:sz w:val="24"/>
                <w:szCs w:val="24"/>
              </w:rPr>
              <w:t>・</w:t>
            </w:r>
            <w:r>
              <w:rPr>
                <w:rFonts w:ascii="HGPｺﾞｼｯｸM" w:eastAsia="HGPｺﾞｼｯｸM" w:hAnsi="ＭＳ 明朝" w:hint="eastAsia"/>
                <w:color w:val="000000" w:themeColor="text1"/>
                <w:sz w:val="24"/>
              </w:rPr>
              <w:t>期末・勤勉手当（ボーナス）として、年4.6カ月分が6月と12月にわけて支給されます（令和６年度実績）。条例・規則等の改正により、変更となる場合があります。</w:t>
            </w:r>
          </w:p>
          <w:p>
            <w:pPr>
              <w:jc w:val="both"/>
              <w:rPr>
                <w:rFonts w:ascii="HGPｺﾞｼｯｸM" w:eastAsia="HGPｺﾞｼｯｸM" w:hAnsi="ＭＳ 明朝"/>
                <w:color w:val="000000" w:themeColor="text1"/>
                <w:sz w:val="24"/>
              </w:rPr>
            </w:pPr>
            <w:r>
              <w:rPr>
                <w:rFonts w:ascii="HGPｺﾞｼｯｸM" w:eastAsia="HGPｺﾞｼｯｸM" w:hAnsi="ＭＳ 明朝" w:hint="eastAsia"/>
                <w:color w:val="000000" w:themeColor="text1"/>
                <w:sz w:val="24"/>
              </w:rPr>
              <w:t>※期末・勤勉手当は、任用形態・期間によって支給額が減額したり</w:t>
            </w:r>
            <w:bookmarkStart w:id="0" w:name="_GoBack"/>
            <w:bookmarkEnd w:id="0"/>
            <w:r>
              <w:rPr>
                <w:rFonts w:ascii="HGPｺﾞｼｯｸM" w:eastAsia="HGPｺﾞｼｯｸM" w:hAnsi="ＭＳ 明朝" w:hint="eastAsia"/>
                <w:color w:val="000000" w:themeColor="text1"/>
                <w:sz w:val="24"/>
              </w:rPr>
              <w:t>、支給対象とならなかったりする場合があります。</w:t>
            </w:r>
          </w:p>
        </w:tc>
      </w:tr>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給料・報酬等</w:t>
            </w: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支給日</w:t>
            </w:r>
          </w:p>
        </w:tc>
        <w:tc>
          <w:tcPr>
            <w:tcW w:w="8930" w:type="dxa"/>
            <w:vAlign w:val="center"/>
          </w:tcPr>
          <w:p>
            <w:pPr>
              <w:jc w:val="both"/>
              <w:rPr>
                <w:rFonts w:ascii="HGPｺﾞｼｯｸM" w:eastAsia="HGPｺﾞｼｯｸM" w:hAnsi="ＭＳ 明朝" w:cs="ＭＳ 明朝"/>
                <w:color w:val="000000" w:themeColor="text1"/>
                <w:sz w:val="24"/>
                <w:szCs w:val="24"/>
              </w:rPr>
            </w:pPr>
            <w:r>
              <w:rPr>
                <w:rFonts w:ascii="HGPｺﾞｼｯｸM" w:eastAsia="HGPｺﾞｼｯｸM" w:hAnsi="ＭＳ 明朝" w:hint="eastAsia"/>
                <w:color w:val="000000" w:themeColor="text1"/>
                <w:sz w:val="24"/>
                <w:szCs w:val="24"/>
              </w:rPr>
              <w:t>当月の22日（金融機関が休みの場合は、直前の営業日）</w:t>
            </w:r>
          </w:p>
        </w:tc>
      </w:tr>
      <w:tr>
        <w:trPr>
          <w:trHeight w:val="675"/>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休日</w:t>
            </w:r>
          </w:p>
        </w:tc>
        <w:tc>
          <w:tcPr>
            <w:tcW w:w="8930" w:type="dxa"/>
            <w:vAlign w:val="center"/>
          </w:tcPr>
          <w:p>
            <w:pPr>
              <w:spacing w:after="120" w:line="264" w:lineRule="auto"/>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週休日（シフト制）、年末年始</w:t>
            </w:r>
          </w:p>
        </w:tc>
      </w:tr>
      <w:tr>
        <w:trPr>
          <w:trHeight w:val="765"/>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lastRenderedPageBreak/>
              <w:t>休暇</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任用期間に応じて年次有給休暇を付与（１年間に最大20日）</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※事由によって、特別休暇等が付与される場合もあります。（忌引や夏季休暇など）</w:t>
            </w:r>
          </w:p>
        </w:tc>
      </w:tr>
      <w:tr>
        <w:trPr>
          <w:trHeight w:val="840"/>
        </w:trPr>
        <w:tc>
          <w:tcPr>
            <w:tcW w:w="1560" w:type="dxa"/>
            <w:vMerge w:val="restart"/>
            <w:shd w:val="clear" w:color="auto" w:fill="FFCC99"/>
            <w:vAlign w:val="center"/>
          </w:tcPr>
          <w:p>
            <w:pPr>
              <w:rPr>
                <w:rFonts w:ascii="HGPｺﾞｼｯｸM" w:eastAsia="HGPｺﾞｼｯｸM"/>
                <w:color w:val="000000" w:themeColor="text1"/>
              </w:rPr>
            </w:pPr>
            <w:r>
              <w:rPr>
                <w:rFonts w:ascii="HGPｺﾞｼｯｸM" w:eastAsia="HGPｺﾞｼｯｸM" w:hint="eastAsia"/>
                <w:color w:val="000000" w:themeColor="text1"/>
              </w:rPr>
              <w:br w:type="page"/>
            </w:r>
          </w:p>
          <w:p>
            <w:pPr>
              <w:rPr>
                <w:rFonts w:ascii="HGPｺﾞｼｯｸM" w:eastAsia="HGPｺﾞｼｯｸM" w:hAnsi="ＭＳ 明朝"/>
                <w:color w:val="000000" w:themeColor="text1"/>
                <w:sz w:val="24"/>
                <w:szCs w:val="24"/>
              </w:rPr>
            </w:pPr>
          </w:p>
          <w:p>
            <w:pPr>
              <w:rPr>
                <w:rFonts w:ascii="HGPｺﾞｼｯｸM" w:eastAsia="HGPｺﾞｼｯｸM" w:hAnsi="ＭＳ 明朝"/>
                <w:color w:val="000000" w:themeColor="text1"/>
                <w:sz w:val="24"/>
                <w:szCs w:val="24"/>
              </w:rPr>
            </w:pP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社会保険</w:t>
            </w:r>
          </w:p>
          <w:p>
            <w:pPr>
              <w:rPr>
                <w:rFonts w:ascii="HGPｺﾞｼｯｸM" w:eastAsia="HGPｺﾞｼｯｸM" w:hAnsi="ＭＳ 明朝"/>
                <w:color w:val="000000" w:themeColor="text1"/>
                <w:sz w:val="24"/>
                <w:szCs w:val="24"/>
              </w:rPr>
            </w:pP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※給与改定により、任用期間の途中から加入対象になる場合があります。</w:t>
            </w:r>
          </w:p>
          <w:p>
            <w:pPr>
              <w:rPr>
                <w:rFonts w:ascii="HGPｺﾞｼｯｸM" w:eastAsia="HGPｺﾞｼｯｸM" w:hAnsi="ＭＳ 明朝"/>
                <w:color w:val="000000" w:themeColor="text1"/>
                <w:sz w:val="24"/>
                <w:szCs w:val="24"/>
              </w:rPr>
            </w:pPr>
          </w:p>
          <w:p>
            <w:pPr>
              <w:spacing w:beforeLines="50" w:before="180" w:afterLines="50" w:after="180"/>
              <w:rPr>
                <w:rFonts w:ascii="HGPｺﾞｼｯｸM" w:eastAsia="HGPｺﾞｼｯｸM" w:hAnsi="ＭＳ 明朝"/>
                <w:color w:val="000000" w:themeColor="text1"/>
                <w:sz w:val="24"/>
                <w:szCs w:val="24"/>
              </w:rPr>
            </w:pP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【健康保険・厚生年金保険】</w:t>
            </w:r>
          </w:p>
          <w:p>
            <w:pPr>
              <w:spacing w:after="120" w:line="264" w:lineRule="auto"/>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健康保険（福岡県市町村職員共済組合）、厚生年金保険の適用があります。</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※ただし、70歳以上の人は厚生年金保険の被保険者にはなりません。在職中に70歳に達した人は、厚生年金保険の被保険者資格を喪失します。</w:t>
            </w:r>
          </w:p>
          <w:p>
            <w:pPr>
              <w:jc w:val="both"/>
              <w:rPr>
                <w:rFonts w:ascii="HGPｺﾞｼｯｸM" w:eastAsia="HGPｺﾞｼｯｸM" w:hAnsi="ＭＳ 明朝"/>
                <w:color w:val="000000" w:themeColor="text1"/>
                <w:sz w:val="24"/>
                <w:szCs w:val="24"/>
              </w:rPr>
            </w:pPr>
          </w:p>
        </w:tc>
      </w:tr>
      <w:tr>
        <w:trPr>
          <w:cantSplit/>
          <w:trHeight w:val="2773"/>
        </w:trPr>
        <w:tc>
          <w:tcPr>
            <w:tcW w:w="1560" w:type="dxa"/>
            <w:vMerge/>
            <w:shd w:val="clear" w:color="auto" w:fill="FFCC99"/>
            <w:vAlign w:val="center"/>
          </w:tcPr>
          <w:p>
            <w:pPr>
              <w:rPr>
                <w:rFonts w:ascii="HGPｺﾞｼｯｸM" w:eastAsia="HGPｺﾞｼｯｸM"/>
                <w:color w:val="000000" w:themeColor="text1"/>
              </w:rPr>
            </w:pP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【雇用保険】</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雇用保険に加入します。</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また、65歳に達した日以後に新たに雇用された人も雇用保険の被保険者となります。</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※なお、フルタイム勤務者は、18日以上勤務した月が６カ月を超えるに至ったときから、退職手当組合に加入します。その場合、雇用保険の被保険者資格は喪失します。</w:t>
            </w:r>
          </w:p>
        </w:tc>
      </w:tr>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公務災害</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市の非常勤職員の公務災害補償制度又は労働者災害補償保険のいずれかが適用されます。（フルタイム勤務で、連続する通算任期が1年を超えた場合は、地方公務員災害補償法に基づく制度が適用されます。）</w:t>
            </w:r>
          </w:p>
        </w:tc>
      </w:tr>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服務</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一般職の地方公務員として、守秘義務、職務専念義務などの服務上の規定が適用されます。</w:t>
            </w:r>
          </w:p>
        </w:tc>
      </w:tr>
    </w:tbl>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lastRenderedPageBreak/>
        <w:t>３　採用試験</w:t>
      </w:r>
    </w:p>
    <w:tbl>
      <w:tblPr>
        <w:tblStyle w:val="af1"/>
        <w:tblW w:w="10490" w:type="dxa"/>
        <w:tblInd w:w="-5" w:type="dxa"/>
        <w:tblLook w:val="04A0" w:firstRow="1" w:lastRow="0" w:firstColumn="1" w:lastColumn="0" w:noHBand="0" w:noVBand="1"/>
      </w:tblPr>
      <w:tblGrid>
        <w:gridCol w:w="1560"/>
        <w:gridCol w:w="8930"/>
      </w:tblGrid>
      <w:tr>
        <w:trPr>
          <w:trHeight w:val="483"/>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pacing w:val="4"/>
                <w:w w:val="91"/>
                <w:sz w:val="24"/>
                <w:szCs w:val="24"/>
                <w:fitText w:val="1320" w:id="-1150554112"/>
              </w:rPr>
              <w:t>応募受付期</w:t>
            </w:r>
            <w:r>
              <w:rPr>
                <w:rFonts w:ascii="HGPｺﾞｼｯｸM" w:eastAsia="HGPｺﾞｼｯｸM" w:hAnsi="ＭＳ 明朝" w:hint="eastAsia"/>
                <w:color w:val="000000" w:themeColor="text1"/>
                <w:spacing w:val="-9"/>
                <w:w w:val="91"/>
                <w:sz w:val="24"/>
                <w:szCs w:val="24"/>
                <w:fitText w:val="1320" w:id="-1150554112"/>
              </w:rPr>
              <w:t>間</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令和７年４月８日（火）～９月30日（火）</w:t>
            </w:r>
          </w:p>
        </w:tc>
      </w:tr>
      <w:tr>
        <w:trPr>
          <w:trHeight w:val="415"/>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実施時期</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募集期間を随時（毎週火曜日締）とするため、試験官と応募者の日程調整の上試験日を決定します。</w:t>
            </w:r>
          </w:p>
        </w:tc>
      </w:tr>
      <w:tr>
        <w:trPr>
          <w:trHeight w:val="415"/>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試験会場</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大野城心のふるさと館　中２階　講座学習室</w:t>
            </w:r>
          </w:p>
        </w:tc>
      </w:tr>
      <w:tr>
        <w:trPr>
          <w:trHeight w:val="484"/>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実施方法</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面接</w:t>
            </w:r>
          </w:p>
        </w:tc>
      </w:tr>
      <w:tr>
        <w:trPr>
          <w:trHeight w:val="470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受験資格</w:t>
            </w:r>
          </w:p>
        </w:tc>
        <w:tc>
          <w:tcPr>
            <w:tcW w:w="8930" w:type="dxa"/>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◇学芸員の資格を有すること</w:t>
            </w: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◇歴史学・民俗学・考古学の知識を持っていること</w:t>
            </w: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◇普通自動車運転免許を持っていること</w:t>
            </w: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◇ワード・エクセルなどのパソコン操作ができること</w:t>
            </w:r>
          </w:p>
          <w:p>
            <w:pPr>
              <w:spacing w:after="120" w:line="264" w:lineRule="auto"/>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※地方公務員法第16条の規定に基づき、以下に該当する人は受験できません。</w:t>
            </w:r>
          </w:p>
          <w:p>
            <w:pPr>
              <w:spacing w:line="300" w:lineRule="exact"/>
              <w:ind w:leftChars="112" w:left="344" w:hangingChars="50" w:hanging="12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・拘禁刑以上の刑に処せられ、その執行を終わるまで又はその執行を受けることがなくなるまでの者</w:t>
            </w:r>
          </w:p>
          <w:p>
            <w:pPr>
              <w:spacing w:line="300" w:lineRule="exact"/>
              <w:ind w:firstLineChars="100" w:firstLine="24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・大野城市職員として懲戒免職の処分を受け、その処分の日から２年を経過しな</w:t>
            </w:r>
          </w:p>
          <w:p>
            <w:pPr>
              <w:spacing w:line="300" w:lineRule="exact"/>
              <w:ind w:firstLineChars="150" w:firstLine="36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い者</w:t>
            </w:r>
          </w:p>
          <w:p>
            <w:pPr>
              <w:spacing w:line="300" w:lineRule="exact"/>
              <w:ind w:leftChars="100" w:left="320" w:hangingChars="50" w:hanging="12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・人事委員会又は公平委員会の委員の職にあって、第60条から第63条までに規定する罪を犯し、刑に処せられた者</w:t>
            </w:r>
          </w:p>
          <w:p>
            <w:pPr>
              <w:spacing w:line="300" w:lineRule="exact"/>
              <w:ind w:leftChars="100" w:left="320" w:hangingChars="50" w:hanging="120"/>
              <w:rPr>
                <w:color w:val="000000" w:themeColor="text1"/>
              </w:rPr>
            </w:pPr>
            <w:r>
              <w:rPr>
                <w:rFonts w:ascii="HGPｺﾞｼｯｸM" w:eastAsia="HGPｺﾞｼｯｸM" w:hAnsi="ＭＳ 明朝" w:hint="eastAsia"/>
                <w:color w:val="000000" w:themeColor="text1"/>
                <w:sz w:val="24"/>
                <w:szCs w:val="24"/>
              </w:rPr>
              <w:t>・日本国憲法の施行の日以後において、日本国憲法又はその下に成立した政府を暴力で破壊することを主張する政党その他の団体を結成し、またはこれに加入した者</w:t>
            </w:r>
          </w:p>
        </w:tc>
      </w:tr>
      <w:tr>
        <w:trPr>
          <w:trHeight w:val="352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申込方法</w:t>
            </w:r>
          </w:p>
        </w:tc>
        <w:tc>
          <w:tcPr>
            <w:tcW w:w="8930" w:type="dxa"/>
          </w:tcPr>
          <w:p>
            <w:pPr>
              <w:spacing w:line="300" w:lineRule="exact"/>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大野城市会計年度任用職員採用試験申込書（心のふるさと館文化財担当で応募案内と共に配布、又はホームページに掲載）に必要事項を記載の上、申し込み先に郵送、または直接提出してください。また、</w:t>
            </w:r>
            <w:r>
              <w:rPr>
                <w:rFonts w:ascii="HGPｺﾞｼｯｸM" w:eastAsia="HGPｺﾞｼｯｸM" w:hAnsi="ＭＳ 明朝" w:hint="eastAsia"/>
                <w:color w:val="000000" w:themeColor="text1"/>
                <w:sz w:val="24"/>
                <w:szCs w:val="24"/>
                <w:u w:val="single"/>
              </w:rPr>
              <w:t>学芸員資格の証明書と運転免許証のコピー、事前提出課題（作文）も併せて提出してください。</w:t>
            </w:r>
          </w:p>
          <w:p>
            <w:pPr>
              <w:spacing w:line="300" w:lineRule="exact"/>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※一度受理した書類は、いかなる理由があっても返却しません。</w:t>
            </w:r>
          </w:p>
          <w:p>
            <w:pPr>
              <w:spacing w:line="300" w:lineRule="exact"/>
              <w:ind w:left="240" w:hangingChars="100" w:hanging="24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申込書①には、必要事項を記載のうえ、写真票に顔写真を貼付し、受験票部分を切り取り、郵便はがきの裏面に貼付してください。はがきの表面には、返送用の宛名を記載し、85円切手の貼付をしてください。</w:t>
            </w:r>
          </w:p>
          <w:p>
            <w:pPr>
              <w:spacing w:line="300" w:lineRule="exact"/>
              <w:ind w:leftChars="100" w:left="20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申込書②（申込用履歴書）には必要事項を記載のうえ、顔写真の貼付をしてください。</w:t>
            </w:r>
          </w:p>
          <w:p>
            <w:pPr>
              <w:spacing w:line="300" w:lineRule="exact"/>
              <w:ind w:left="240" w:hangingChars="100" w:hanging="240"/>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※資格を確認できるものの写しをあわせてご提出ください。</w:t>
            </w:r>
          </w:p>
          <w:p>
            <w:pPr>
              <w:spacing w:line="300" w:lineRule="exact"/>
              <w:rPr>
                <w:color w:val="000000" w:themeColor="text1"/>
              </w:rPr>
            </w:pPr>
            <w:r>
              <w:rPr>
                <w:rFonts w:ascii="HGPｺﾞｼｯｸM" w:eastAsia="HGPｺﾞｼｯｸM" w:hAnsi="ＭＳ 明朝" w:hint="eastAsia"/>
                <w:color w:val="000000" w:themeColor="text1"/>
                <w:sz w:val="24"/>
                <w:szCs w:val="24"/>
              </w:rPr>
              <w:t>※受験票は申込受付締切り後に、郵送します。</w:t>
            </w:r>
          </w:p>
        </w:tc>
      </w:tr>
      <w:tr>
        <w:trPr>
          <w:trHeight w:val="1094"/>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事前提出課題</w:t>
            </w:r>
          </w:p>
        </w:tc>
        <w:tc>
          <w:tcPr>
            <w:tcW w:w="8930" w:type="dxa"/>
          </w:tcPr>
          <w:p>
            <w:pPr>
              <w:spacing w:line="300" w:lineRule="exact"/>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作文課題</w:t>
            </w:r>
          </w:p>
          <w:p>
            <w:pPr>
              <w:spacing w:line="300" w:lineRule="exact"/>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テーマ「大野城市内の文化財を題材として、大野城心のふるさと館で実施したい展示、又は教育普及事業について」（800字以内）</w:t>
            </w:r>
          </w:p>
        </w:tc>
      </w:tr>
      <w:tr>
        <w:trPr>
          <w:trHeight w:val="1703"/>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提出先</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〒816-0934</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大野城市曙町３丁目８番３号　大野城心のふるさと館　文化財担当</w:t>
            </w:r>
          </w:p>
          <w:p>
            <w:pPr>
              <w:ind w:left="240" w:hangingChars="100" w:hanging="240"/>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※郵送の場合、必ず封筒の表に「会計年度任用職員（文化財啓発整備学芸員）申込」と朱書きし、封筒の裏には差出人の住所・氏名を記載してください。</w:t>
            </w:r>
          </w:p>
          <w:p>
            <w:pPr>
              <w:ind w:left="240" w:hangingChars="100" w:hanging="240"/>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※持参の場合は、大野城心のふるさと館に直接持参してください。</w:t>
            </w:r>
          </w:p>
        </w:tc>
      </w:tr>
      <w:tr>
        <w:trPr>
          <w:trHeight w:val="328"/>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提出期限</w:t>
            </w:r>
          </w:p>
        </w:tc>
        <w:tc>
          <w:tcPr>
            <w:tcW w:w="8930"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令和７年９月30日（火）（必着）</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持参の場合の受付は、平日８時30分から17時までです。</w:t>
            </w:r>
          </w:p>
        </w:tc>
      </w:tr>
      <w:tr>
        <w:trPr>
          <w:trHeight w:val="328"/>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lastRenderedPageBreak/>
              <w:t>合格発表</w:t>
            </w:r>
          </w:p>
        </w:tc>
        <w:tc>
          <w:tcPr>
            <w:tcW w:w="8930" w:type="dxa"/>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試験後1週間以内に合格者に電話連絡をするとともに、受験者全員に郵送で通知します。</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※合否結果について、電話での問い合わせにはお答えできません。</w:t>
            </w:r>
          </w:p>
        </w:tc>
      </w:tr>
      <w:tr>
        <w:trPr>
          <w:trHeight w:val="328"/>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pacing w:val="2"/>
                <w:w w:val="83"/>
                <w:sz w:val="24"/>
                <w:szCs w:val="24"/>
                <w:fitText w:val="1200" w:id="-1150617856"/>
              </w:rPr>
              <w:t>試験結果開</w:t>
            </w:r>
            <w:r>
              <w:rPr>
                <w:rFonts w:ascii="HGPｺﾞｼｯｸM" w:eastAsia="HGPｺﾞｼｯｸM" w:hAnsi="ＭＳ 明朝" w:hint="eastAsia"/>
                <w:color w:val="000000" w:themeColor="text1"/>
                <w:spacing w:val="-4"/>
                <w:w w:val="83"/>
                <w:sz w:val="24"/>
                <w:szCs w:val="24"/>
                <w:fitText w:val="1200" w:id="-1150617856"/>
              </w:rPr>
              <w:t>示</w:t>
            </w:r>
          </w:p>
        </w:tc>
        <w:tc>
          <w:tcPr>
            <w:tcW w:w="8930" w:type="dxa"/>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受験者本人に限り、合格発表後1週間のあいだ、試験結果の情報提供を行います。</w:t>
            </w:r>
          </w:p>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希望する人は、大野城心のふるさと館文化財担当まで、受験票を持参して申し出てください。</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※試験結果のコピーが必要な方はコピー代として10円が必要です。</w:t>
            </w:r>
          </w:p>
        </w:tc>
      </w:tr>
    </w:tbl>
    <w:p>
      <w:pPr>
        <w:spacing w:after="0" w:line="240" w:lineRule="auto"/>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　 </w:t>
      </w:r>
    </w:p>
    <w:p>
      <w:pPr>
        <w:spacing w:after="0" w:line="240" w:lineRule="auto"/>
        <w:ind w:firstLineChars="100" w:firstLine="240"/>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※遅刻した場合は受験を認めませんのでご注意ください。</w:t>
      </w:r>
    </w:p>
    <w:p>
      <w:pPr>
        <w:spacing w:after="0" w:line="240" w:lineRule="auto"/>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　 ※試験会場は席により空調の効き具合が異なります。調節のできる服装でお越しください。</w:t>
      </w:r>
    </w:p>
    <w:p>
      <w:pPr>
        <w:spacing w:after="0" w:line="240" w:lineRule="auto"/>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　 ※試験会場には利用できる駐車場はありません。</w:t>
      </w:r>
    </w:p>
    <w:p>
      <w:pPr>
        <w:spacing w:after="0" w:line="240" w:lineRule="auto"/>
        <w:ind w:left="480" w:hangingChars="200" w:hanging="480"/>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　 ※身体の障がい等により、やむを得ず自家用車での来場が必要な人は、申込時に</w:t>
      </w:r>
      <w:bookmarkStart w:id="1" w:name="_Hlk190360438"/>
      <w:r>
        <w:rPr>
          <w:rFonts w:ascii="HGPｺﾞｼｯｸM" w:eastAsia="HGPｺﾞｼｯｸM" w:hAnsi="ＭＳ ゴシック" w:hint="eastAsia"/>
          <w:color w:val="000000" w:themeColor="text1"/>
          <w:sz w:val="24"/>
          <w:szCs w:val="24"/>
        </w:rPr>
        <w:t>心のふるさと館文化財担当</w:t>
      </w:r>
      <w:bookmarkEnd w:id="1"/>
      <w:r>
        <w:rPr>
          <w:rFonts w:ascii="HGPｺﾞｼｯｸM" w:eastAsia="HGPｺﾞｼｯｸM" w:hAnsi="ＭＳ ゴシック" w:hint="eastAsia"/>
          <w:color w:val="000000" w:themeColor="text1"/>
          <w:sz w:val="24"/>
          <w:szCs w:val="24"/>
        </w:rPr>
        <w:t>までご相談ください。</w:t>
      </w:r>
    </w:p>
    <w:p>
      <w:pPr>
        <w:spacing w:after="0" w:line="240" w:lineRule="auto"/>
        <w:ind w:left="480" w:hangingChars="200" w:hanging="480"/>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 xml:space="preserve">　 ※車イス利用などにより、受験に際して特に配慮を希望する場合は、申込時に心のふるさと館文化財担当までご相談ください。</w:t>
      </w:r>
    </w:p>
    <w:p>
      <w:pPr>
        <w:spacing w:after="0" w:line="240" w:lineRule="auto"/>
        <w:ind w:left="480" w:hangingChars="200" w:hanging="480"/>
        <w:rPr>
          <w:rFonts w:ascii="HGPｺﾞｼｯｸM" w:eastAsia="HGPｺﾞｼｯｸM" w:hAnsi="ＭＳ ゴシック"/>
          <w:color w:val="000000" w:themeColor="text1"/>
          <w:sz w:val="24"/>
          <w:szCs w:val="24"/>
        </w:rPr>
      </w:pPr>
    </w:p>
    <w:p>
      <w:pPr>
        <w:spacing w:after="0"/>
        <w:rPr>
          <w:rFonts w:ascii="HGPｺﾞｼｯｸM" w:eastAsia="HGPｺﾞｼｯｸM" w:hAnsi="ＭＳ ゴシック"/>
          <w:color w:val="000000" w:themeColor="text1"/>
          <w:sz w:val="24"/>
          <w:szCs w:val="24"/>
        </w:rPr>
      </w:pPr>
      <w:r>
        <w:rPr>
          <w:rFonts w:ascii="HGPｺﾞｼｯｸM" w:eastAsia="HGPｺﾞｼｯｸM" w:hAnsi="ＭＳ ゴシック" w:hint="eastAsia"/>
          <w:color w:val="000000" w:themeColor="text1"/>
          <w:sz w:val="24"/>
          <w:szCs w:val="24"/>
        </w:rPr>
        <w:t>４　任用</w:t>
      </w:r>
    </w:p>
    <w:tbl>
      <w:tblPr>
        <w:tblStyle w:val="af1"/>
        <w:tblW w:w="0" w:type="auto"/>
        <w:tblInd w:w="-5" w:type="dxa"/>
        <w:tblLook w:val="04A0" w:firstRow="1" w:lastRow="0" w:firstColumn="1" w:lastColumn="0" w:noHBand="0" w:noVBand="1"/>
      </w:tblPr>
      <w:tblGrid>
        <w:gridCol w:w="1560"/>
        <w:gridCol w:w="8788"/>
      </w:tblGrid>
      <w:tr>
        <w:trPr>
          <w:trHeight w:val="73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合格後</w:t>
            </w:r>
          </w:p>
        </w:tc>
        <w:tc>
          <w:tcPr>
            <w:tcW w:w="8788" w:type="dxa"/>
            <w:vAlign w:val="center"/>
          </w:tcPr>
          <w:p>
            <w:pPr>
              <w:ind w:left="120" w:hangingChars="50" w:hanging="120"/>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・採用試験の合格者は、</w:t>
            </w:r>
            <w:r>
              <w:rPr>
                <w:rFonts w:ascii="HGPｺﾞｼｯｸM" w:eastAsia="HGPｺﾞｼｯｸM" w:hAnsi="ＭＳ 明朝" w:hint="eastAsia"/>
                <w:b/>
                <w:color w:val="000000" w:themeColor="text1"/>
                <w:sz w:val="24"/>
                <w:szCs w:val="24"/>
                <w:u w:val="wave"/>
              </w:rPr>
              <w:t>合格の日から令和８年３月31日まで</w:t>
            </w:r>
            <w:r>
              <w:rPr>
                <w:rFonts w:ascii="HGPｺﾞｼｯｸM" w:eastAsia="HGPｺﾞｼｯｸM" w:hAnsi="ＭＳ 明朝" w:hint="eastAsia"/>
                <w:color w:val="000000" w:themeColor="text1"/>
                <w:sz w:val="24"/>
                <w:szCs w:val="24"/>
              </w:rPr>
              <w:t>を登録期間とする会計年度任用職員候補者名簿（候補者名簿）に登録されます。</w:t>
            </w:r>
          </w:p>
        </w:tc>
      </w:tr>
      <w:tr>
        <w:trPr>
          <w:trHeight w:val="2677"/>
        </w:trP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採用決定</w:t>
            </w:r>
          </w:p>
        </w:tc>
        <w:tc>
          <w:tcPr>
            <w:tcW w:w="8788" w:type="dxa"/>
            <w:vAlign w:val="center"/>
          </w:tcPr>
          <w:p>
            <w:pPr>
              <w:ind w:left="120" w:hangingChars="50" w:hanging="120"/>
              <w:jc w:val="both"/>
              <w:rPr>
                <w:rFonts w:ascii="HGPｺﾞｼｯｸM" w:eastAsia="HGPｺﾞｼｯｸM" w:hAnsi="ＭＳ 明朝"/>
                <w:color w:val="000000" w:themeColor="text1"/>
                <w:sz w:val="24"/>
                <w:szCs w:val="24"/>
                <w:u w:val="wave"/>
              </w:rPr>
            </w:pPr>
            <w:r>
              <w:rPr>
                <w:rFonts w:ascii="HGPｺﾞｼｯｸM" w:eastAsia="HGPｺﾞｼｯｸM" w:hAnsi="ＭＳ 明朝" w:hint="eastAsia"/>
                <w:color w:val="000000" w:themeColor="text1"/>
                <w:sz w:val="24"/>
                <w:szCs w:val="24"/>
              </w:rPr>
              <w:t>・採用試験では、採用人数に関わらず、その業務を行うにあたって合格水準にあると認められる人を全て合格者とするため、</w:t>
            </w:r>
            <w:r>
              <w:rPr>
                <w:rFonts w:ascii="HGPｺﾞｼｯｸM" w:eastAsia="HGPｺﾞｼｯｸM" w:hAnsi="ＭＳ 明朝" w:hint="eastAsia"/>
                <w:b/>
                <w:color w:val="000000" w:themeColor="text1"/>
                <w:sz w:val="24"/>
                <w:szCs w:val="24"/>
                <w:u w:val="wave"/>
              </w:rPr>
              <w:t>候補者名簿に登録されても、必ずしも全員が採用されるとは限りません。</w:t>
            </w:r>
          </w:p>
          <w:p>
            <w:pPr>
              <w:ind w:left="120" w:hangingChars="50" w:hanging="120"/>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・採用については、採用試験の成績やこれまでの勤務歴等から、業務への適性を考慮し、仕事の打診をさせていただきます。</w:t>
            </w:r>
          </w:p>
          <w:p>
            <w:pPr>
              <w:ind w:left="120" w:hangingChars="50" w:hanging="120"/>
              <w:jc w:val="both"/>
              <w:rPr>
                <w:rFonts w:ascii="HGPｺﾞｼｯｸM" w:eastAsia="HGPｺﾞｼｯｸM" w:hAnsi="ＭＳ 明朝"/>
                <w:b/>
                <w:color w:val="000000" w:themeColor="text1"/>
                <w:sz w:val="24"/>
                <w:szCs w:val="24"/>
                <w:u w:val="wave"/>
              </w:rPr>
            </w:pPr>
            <w:r>
              <w:rPr>
                <w:rFonts w:ascii="HGPｺﾞｼｯｸM" w:eastAsia="HGPｺﾞｼｯｸM" w:hAnsi="ＭＳ 明朝" w:hint="eastAsia"/>
                <w:color w:val="000000" w:themeColor="text1"/>
                <w:sz w:val="24"/>
                <w:szCs w:val="24"/>
              </w:rPr>
              <w:t>・</w:t>
            </w:r>
            <w:r>
              <w:rPr>
                <w:rFonts w:ascii="HGPｺﾞｼｯｸM" w:eastAsia="HGPｺﾞｼｯｸM" w:hAnsi="ＭＳ 明朝" w:hint="eastAsia"/>
                <w:b/>
                <w:color w:val="000000" w:themeColor="text1"/>
                <w:sz w:val="24"/>
                <w:szCs w:val="24"/>
                <w:u w:val="wave"/>
              </w:rPr>
              <w:t>登録期間内に採用の必要が生じた場合に、随時、候補者名簿に登録のある方に仕事の打診をさせていただきます。</w:t>
            </w:r>
          </w:p>
          <w:p>
            <w:pPr>
              <w:ind w:left="120" w:hangingChars="50" w:hanging="120"/>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・育児休業等取得している職員の代替として任用される場合もあります。</w:t>
            </w:r>
          </w:p>
        </w:tc>
      </w:tr>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条件付採用</w:t>
            </w:r>
          </w:p>
        </w:tc>
        <w:tc>
          <w:tcPr>
            <w:tcW w:w="8788"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地方公務員法の規定に基づき、採用時はすべて条件付のものとし、採用後1カ月を良好な成績で勤務したときに会計年度任用職員として正式採用となります。</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b/>
                <w:color w:val="000000" w:themeColor="text1"/>
                <w:sz w:val="24"/>
                <w:szCs w:val="24"/>
                <w:u w:val="single"/>
              </w:rPr>
              <w:t>予算措置が講じられない場合、任用されないことがあります。</w:t>
            </w:r>
          </w:p>
        </w:tc>
      </w:tr>
      <w:tr>
        <w:tc>
          <w:tcPr>
            <w:tcW w:w="1560" w:type="dxa"/>
            <w:shd w:val="clear" w:color="auto" w:fill="FFCC99"/>
            <w:vAlign w:val="center"/>
          </w:tcPr>
          <w:p>
            <w:pPr>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再度の任用</w:t>
            </w:r>
          </w:p>
        </w:tc>
        <w:tc>
          <w:tcPr>
            <w:tcW w:w="8788" w:type="dxa"/>
            <w:vAlign w:val="center"/>
          </w:tcPr>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勤務内容が良好で、人事評価にて一定以上の評価がある場合については、次年度も採用候補者名簿に登録され、連続する２会計年度まで再度の任用が可能となります。</w:t>
            </w:r>
          </w:p>
          <w:p>
            <w:pPr>
              <w:jc w:val="both"/>
              <w:rPr>
                <w:rFonts w:ascii="HGPｺﾞｼｯｸM" w:eastAsia="HGPｺﾞｼｯｸM" w:hAnsi="ＭＳ 明朝"/>
                <w:color w:val="000000" w:themeColor="text1"/>
                <w:sz w:val="24"/>
                <w:szCs w:val="24"/>
              </w:rPr>
            </w:pPr>
            <w:r>
              <w:rPr>
                <w:rFonts w:ascii="HGPｺﾞｼｯｸM" w:eastAsia="HGPｺﾞｼｯｸM" w:hAnsi="ＭＳ 明朝" w:hint="eastAsia"/>
                <w:color w:val="000000" w:themeColor="text1"/>
                <w:sz w:val="24"/>
                <w:szCs w:val="24"/>
              </w:rPr>
              <w:t>※次年度の予算措置等の状況によっては、任用がない場合があります。</w:t>
            </w:r>
          </w:p>
        </w:tc>
      </w:tr>
    </w:tbl>
    <w:p>
      <w:pPr>
        <w:rPr>
          <w:rFonts w:ascii="HGPｺﾞｼｯｸM" w:eastAsia="HGPｺﾞｼｯｸM" w:hAnsi="ＭＳ 明朝"/>
          <w:color w:val="000000" w:themeColor="text1"/>
          <w:sz w:val="24"/>
          <w:szCs w:val="24"/>
        </w:rPr>
      </w:pPr>
    </w:p>
    <w:sectPr>
      <w:footerReference w:type="default" r:id="rId8"/>
      <w:headerReference w:type="first" r:id="rId9"/>
      <w:pgSz w:w="11906" w:h="16838"/>
      <w:pgMar w:top="1418" w:right="709" w:bottom="567" w:left="709" w:header="397"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53371"/>
      <w:docPartObj>
        <w:docPartGallery w:val="Page Numbers (Bottom of Page)"/>
        <w:docPartUnique/>
      </w:docPartObj>
    </w:sdtPr>
    <w:sdtContent>
      <w:p>
        <w:pPr>
          <w:pStyle w:val="af6"/>
          <w:jc w:val="center"/>
        </w:pPr>
        <w:r>
          <w:fldChar w:fldCharType="begin"/>
        </w:r>
        <w:r>
          <w:instrText>PAGE   \* MERGEFORMAT</w:instrText>
        </w:r>
        <w:r>
          <w:fldChar w:fldCharType="separate"/>
        </w:r>
        <w:r>
          <w:rPr>
            <w:noProof/>
            <w:lang w:val="ja-JP"/>
          </w:rPr>
          <w:t>-</w:t>
        </w:r>
        <w:r>
          <w:rPr>
            <w:noProof/>
          </w:rPr>
          <w:t xml:space="preserve"> 2 -</w:t>
        </w:r>
        <w:r>
          <w:fldChar w:fldCharType="end"/>
        </w:r>
      </w:p>
    </w:sdtContent>
  </w:sdt>
  <w:p>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令</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2E8"/>
    <w:multiLevelType w:val="hybridMultilevel"/>
    <w:tmpl w:val="D824674A"/>
    <w:lvl w:ilvl="0" w:tplc="0FD233C8">
      <w:start w:val="2"/>
      <w:numFmt w:val="bullet"/>
      <w:lvlText w:val="・"/>
      <w:lvlJc w:val="left"/>
      <w:pPr>
        <w:ind w:left="360" w:hanging="360"/>
      </w:pPr>
      <w:rPr>
        <w:rFonts w:ascii="HGPｺﾞｼｯｸM" w:eastAsia="HGPｺﾞｼｯｸM"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054EF"/>
    <w:multiLevelType w:val="hybridMultilevel"/>
    <w:tmpl w:val="1D780748"/>
    <w:lvl w:ilvl="0" w:tplc="EE1C3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3250A29-1371-421E-B9B7-C09EFBB8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2">
    <w:name w:val="heading 2"/>
    <w:basedOn w:val="a"/>
    <w:next w:val="a"/>
    <w:link w:val="20"/>
    <w:uiPriority w:val="9"/>
    <w:semiHidden/>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6">
    <w:name w:val="heading 6"/>
    <w:basedOn w:val="a"/>
    <w:next w:val="a"/>
    <w:link w:val="60"/>
    <w:uiPriority w:val="9"/>
    <w:semiHidden/>
    <w:unhideWhenUsed/>
    <w:qFormat/>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7">
    <w:name w:val="heading 7"/>
    <w:basedOn w:val="a"/>
    <w:next w:val="a"/>
    <w:link w:val="70"/>
    <w:uiPriority w:val="9"/>
    <w:semiHidden/>
    <w:unhideWhenUsed/>
    <w:qFormat/>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8">
    <w:name w:val="heading 8"/>
    <w:basedOn w:val="a"/>
    <w:next w:val="a"/>
    <w:link w:val="80"/>
    <w:uiPriority w:val="9"/>
    <w:semiHidden/>
    <w:unhideWhenUsed/>
    <w:qFormat/>
    <w:pPr>
      <w:keepNext/>
      <w:keepLines/>
      <w:spacing w:before="40" w:after="0"/>
      <w:outlineLvl w:val="7"/>
    </w:pPr>
    <w:rPr>
      <w:rFonts w:asciiTheme="majorHAnsi" w:eastAsiaTheme="majorEastAsia" w:hAnsiTheme="majorHAnsi" w:cstheme="majorBidi"/>
      <w:b/>
      <w:bCs/>
      <w:color w:val="455F51" w:themeColor="text2"/>
    </w:rPr>
  </w:style>
  <w:style w:type="paragraph" w:styleId="9">
    <w:name w:val="heading 9"/>
    <w:basedOn w:val="a"/>
    <w:next w:val="a"/>
    <w:link w:val="90"/>
    <w:uiPriority w:val="9"/>
    <w:semiHidden/>
    <w:unhideWhenUsed/>
    <w:qFormat/>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6"/>
    <w:link w:val="12"/>
    <w:qFormat/>
    <w:rPr>
      <w:color w:val="51C3F9" w:themeColor="accent6"/>
      <w:sz w:val="56"/>
      <w:szCs w:val="56"/>
    </w:rPr>
  </w:style>
  <w:style w:type="character" w:customStyle="1" w:styleId="12">
    <w:name w:val="スタイル1 (文字)"/>
    <w:basedOn w:val="60"/>
    <w:link w:val="11"/>
    <w:rPr>
      <w:rFonts w:asciiTheme="majorHAnsi" w:eastAsiaTheme="majorEastAsia" w:hAnsiTheme="majorHAnsi" w:cstheme="majorBidi"/>
      <w:i/>
      <w:iCs/>
      <w:color w:val="51C3F9" w:themeColor="accent6"/>
      <w:sz w:val="56"/>
      <w:szCs w:val="56"/>
    </w:rPr>
  </w:style>
  <w:style w:type="character" w:customStyle="1" w:styleId="60">
    <w:name w:val="見出し 6 (文字)"/>
    <w:basedOn w:val="a0"/>
    <w:link w:val="6"/>
    <w:uiPriority w:val="9"/>
    <w:semiHidden/>
    <w:rPr>
      <w:rFonts w:asciiTheme="majorHAnsi" w:eastAsiaTheme="majorEastAsia" w:hAnsiTheme="majorHAnsi" w:cstheme="majorBidi"/>
      <w:i/>
      <w:iCs/>
      <w:color w:val="455F51" w:themeColor="text2"/>
      <w:sz w:val="21"/>
      <w:szCs w:val="21"/>
    </w:rPr>
  </w:style>
  <w:style w:type="character" w:customStyle="1" w:styleId="10">
    <w:name w:val="見出し 1 (文字)"/>
    <w:basedOn w:val="a0"/>
    <w:link w:val="1"/>
    <w:uiPriority w:val="9"/>
    <w:rPr>
      <w:rFonts w:asciiTheme="majorHAnsi" w:eastAsiaTheme="majorEastAsia" w:hAnsiTheme="majorHAnsi" w:cstheme="majorBidi"/>
      <w:color w:val="729928" w:themeColor="accent1" w:themeShade="BF"/>
      <w:sz w:val="32"/>
      <w:szCs w:val="32"/>
    </w:rPr>
  </w:style>
  <w:style w:type="character" w:customStyle="1" w:styleId="20">
    <w:name w:val="見出し 2 (文字)"/>
    <w:basedOn w:val="a0"/>
    <w:link w:val="2"/>
    <w:uiPriority w:val="9"/>
    <w:semiHidden/>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semiHidden/>
    <w:rPr>
      <w:rFonts w:asciiTheme="majorHAnsi" w:eastAsiaTheme="majorEastAsia" w:hAnsiTheme="majorHAnsi" w:cstheme="majorBidi"/>
      <w:color w:val="455F51" w:themeColor="text2"/>
      <w:sz w:val="24"/>
      <w:szCs w:val="24"/>
    </w:rPr>
  </w:style>
  <w:style w:type="character" w:customStyle="1" w:styleId="40">
    <w:name w:val="見出し 4 (文字)"/>
    <w:basedOn w:val="a0"/>
    <w:link w:val="4"/>
    <w:uiPriority w:val="9"/>
    <w:semiHidden/>
    <w:rPr>
      <w:rFonts w:asciiTheme="majorHAnsi" w:eastAsiaTheme="majorEastAsia" w:hAnsiTheme="majorHAnsi" w:cstheme="majorBidi"/>
      <w:sz w:val="22"/>
      <w:szCs w:val="22"/>
    </w:rPr>
  </w:style>
  <w:style w:type="character" w:customStyle="1" w:styleId="50">
    <w:name w:val="見出し 5 (文字)"/>
    <w:basedOn w:val="a0"/>
    <w:link w:val="5"/>
    <w:uiPriority w:val="9"/>
    <w:semiHidden/>
    <w:rPr>
      <w:rFonts w:asciiTheme="majorHAnsi" w:eastAsiaTheme="majorEastAsia" w:hAnsiTheme="majorHAnsi" w:cstheme="majorBidi"/>
      <w:color w:val="455F51" w:themeColor="text2"/>
      <w:sz w:val="22"/>
      <w:szCs w:val="22"/>
    </w:rPr>
  </w:style>
  <w:style w:type="character" w:customStyle="1" w:styleId="70">
    <w:name w:val="見出し 7 (文字)"/>
    <w:basedOn w:val="a0"/>
    <w:link w:val="7"/>
    <w:uiPriority w:val="9"/>
    <w:semiHidden/>
    <w:rPr>
      <w:rFonts w:asciiTheme="majorHAnsi" w:eastAsiaTheme="majorEastAsia" w:hAnsiTheme="majorHAnsi" w:cstheme="majorBidi"/>
      <w:i/>
      <w:iCs/>
      <w:color w:val="4D671B" w:themeColor="accent1" w:themeShade="80"/>
      <w:sz w:val="21"/>
      <w:szCs w:val="21"/>
    </w:rPr>
  </w:style>
  <w:style w:type="character" w:customStyle="1" w:styleId="80">
    <w:name w:val="見出し 8 (文字)"/>
    <w:basedOn w:val="a0"/>
    <w:link w:val="8"/>
    <w:uiPriority w:val="9"/>
    <w:semiHidden/>
    <w:rPr>
      <w:rFonts w:asciiTheme="majorHAnsi" w:eastAsiaTheme="majorEastAsia" w:hAnsiTheme="majorHAnsi" w:cstheme="majorBidi"/>
      <w:b/>
      <w:bCs/>
      <w:color w:val="455F51" w:themeColor="text2"/>
    </w:rPr>
  </w:style>
  <w:style w:type="character" w:customStyle="1" w:styleId="90">
    <w:name w:val="見出し 9 (文字)"/>
    <w:basedOn w:val="a0"/>
    <w:link w:val="9"/>
    <w:uiPriority w:val="9"/>
    <w:semiHidden/>
    <w:rPr>
      <w:rFonts w:asciiTheme="majorHAnsi" w:eastAsiaTheme="majorEastAsia" w:hAnsiTheme="majorHAnsi" w:cstheme="majorBidi"/>
      <w:b/>
      <w:bCs/>
      <w:i/>
      <w:iCs/>
      <w:color w:val="455F51" w:themeColor="text2"/>
    </w:rPr>
  </w:style>
  <w:style w:type="paragraph" w:styleId="a3">
    <w:name w:val="caption"/>
    <w:basedOn w:val="a"/>
    <w:next w:val="a"/>
    <w:uiPriority w:val="35"/>
    <w:semiHidden/>
    <w:unhideWhenUsed/>
    <w:qFormat/>
    <w:pPr>
      <w:spacing w:line="240" w:lineRule="auto"/>
    </w:pPr>
    <w:rPr>
      <w:b/>
      <w:bCs/>
      <w:smallCaps/>
      <w:color w:val="595959" w:themeColor="text1" w:themeTint="A6"/>
      <w:spacing w:val="6"/>
    </w:rPr>
  </w:style>
  <w:style w:type="paragraph" w:styleId="a4">
    <w:name w:val="Title"/>
    <w:basedOn w:val="a"/>
    <w:next w:val="a"/>
    <w:link w:val="a5"/>
    <w:uiPriority w:val="10"/>
    <w:qFormat/>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a5">
    <w:name w:val="表題 (文字)"/>
    <w:basedOn w:val="a0"/>
    <w:link w:val="a4"/>
    <w:uiPriority w:val="10"/>
    <w:rPr>
      <w:rFonts w:asciiTheme="majorHAnsi" w:eastAsiaTheme="majorEastAsia" w:hAnsiTheme="majorHAnsi" w:cstheme="majorBidi"/>
      <w:color w:val="99CB38" w:themeColor="accent1"/>
      <w:spacing w:val="-10"/>
      <w:sz w:val="56"/>
      <w:szCs w:val="56"/>
    </w:rPr>
  </w:style>
  <w:style w:type="paragraph" w:styleId="a6">
    <w:name w:val="Subtitle"/>
    <w:basedOn w:val="a"/>
    <w:next w:val="a"/>
    <w:link w:val="a7"/>
    <w:uiPriority w:val="11"/>
    <w:qFormat/>
    <w:pPr>
      <w:numPr>
        <w:ilvl w:val="1"/>
      </w:numPr>
      <w:spacing w:line="240" w:lineRule="auto"/>
    </w:pPr>
    <w:rPr>
      <w:rFonts w:asciiTheme="majorHAnsi" w:eastAsiaTheme="majorEastAsia" w:hAnsiTheme="majorHAnsi" w:cstheme="majorBidi"/>
      <w:sz w:val="24"/>
      <w:szCs w:val="24"/>
    </w:rPr>
  </w:style>
  <w:style w:type="character" w:customStyle="1" w:styleId="a7">
    <w:name w:val="副題 (文字)"/>
    <w:basedOn w:val="a0"/>
    <w:link w:val="a6"/>
    <w:uiPriority w:val="11"/>
    <w:rPr>
      <w:rFonts w:asciiTheme="majorHAnsi" w:eastAsiaTheme="majorEastAsia" w:hAnsiTheme="majorHAnsi" w:cstheme="majorBidi"/>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paragraph" w:styleId="aa">
    <w:name w:val="No Spacing"/>
    <w:uiPriority w:val="1"/>
    <w:qFormat/>
    <w:pPr>
      <w:spacing w:after="0" w:line="240" w:lineRule="auto"/>
    </w:pPr>
  </w:style>
  <w:style w:type="paragraph" w:styleId="ab">
    <w:name w:val="Quote"/>
    <w:basedOn w:val="a"/>
    <w:next w:val="a"/>
    <w:link w:val="ac"/>
    <w:uiPriority w:val="29"/>
    <w:qFormat/>
    <w:pPr>
      <w:spacing w:before="160"/>
      <w:ind w:left="720" w:right="720"/>
    </w:pPr>
    <w:rPr>
      <w:i/>
      <w:iCs/>
      <w:color w:val="404040" w:themeColor="text1" w:themeTint="BF"/>
    </w:rPr>
  </w:style>
  <w:style w:type="character" w:customStyle="1" w:styleId="ac">
    <w:name w:val="引用文 (文字)"/>
    <w:basedOn w:val="a0"/>
    <w:link w:val="ab"/>
    <w:uiPriority w:val="29"/>
    <w:rPr>
      <w:i/>
      <w:iCs/>
      <w:color w:val="404040" w:themeColor="text1" w:themeTint="BF"/>
    </w:rPr>
  </w:style>
  <w:style w:type="paragraph" w:styleId="21">
    <w:name w:val="Intense Quote"/>
    <w:basedOn w:val="a"/>
    <w:next w:val="a"/>
    <w:link w:val="22"/>
    <w:uiPriority w:val="30"/>
    <w:qFormat/>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22">
    <w:name w:val="引用文 2 (文字)"/>
    <w:basedOn w:val="a0"/>
    <w:link w:val="21"/>
    <w:uiPriority w:val="30"/>
    <w:rPr>
      <w:rFonts w:asciiTheme="majorHAnsi" w:eastAsiaTheme="majorEastAsia" w:hAnsiTheme="majorHAnsi" w:cstheme="majorBidi"/>
      <w:color w:val="99CB38" w:themeColor="accent1"/>
      <w:sz w:val="28"/>
      <w:szCs w:val="28"/>
    </w:rPr>
  </w:style>
  <w:style w:type="character" w:styleId="ad">
    <w:name w:val="Subtle Emphasis"/>
    <w:basedOn w:val="a0"/>
    <w:uiPriority w:val="19"/>
    <w:qFormat/>
    <w:rPr>
      <w:i/>
      <w:iCs/>
      <w:color w:val="404040" w:themeColor="text1" w:themeTint="BF"/>
    </w:rPr>
  </w:style>
  <w:style w:type="character" w:styleId="23">
    <w:name w:val="Intense Emphasis"/>
    <w:basedOn w:val="a0"/>
    <w:uiPriority w:val="21"/>
    <w:qFormat/>
    <w:rPr>
      <w:b/>
      <w:bCs/>
      <w:i/>
      <w:iCs/>
    </w:rPr>
  </w:style>
  <w:style w:type="character" w:styleId="ae">
    <w:name w:val="Subtle Reference"/>
    <w:basedOn w:val="a0"/>
    <w:uiPriority w:val="31"/>
    <w:qFormat/>
    <w:rPr>
      <w:smallCaps/>
      <w:color w:val="404040" w:themeColor="text1" w:themeTint="BF"/>
      <w:u w:val="single" w:color="7F7F7F" w:themeColor="text1" w:themeTint="80"/>
    </w:rPr>
  </w:style>
  <w:style w:type="character" w:styleId="24">
    <w:name w:val="Intense Reference"/>
    <w:basedOn w:val="a0"/>
    <w:uiPriority w:val="32"/>
    <w:qFormat/>
    <w:rPr>
      <w:b/>
      <w:bCs/>
      <w:smallCaps/>
      <w:spacing w:val="5"/>
      <w:u w:val="single"/>
    </w:rPr>
  </w:style>
  <w:style w:type="character" w:styleId="af">
    <w:name w:val="Book Title"/>
    <w:basedOn w:val="a0"/>
    <w:uiPriority w:val="33"/>
    <w:qFormat/>
    <w:rPr>
      <w:b/>
      <w:bCs/>
      <w:smallCaps/>
    </w:rPr>
  </w:style>
  <w:style w:type="paragraph" w:styleId="af0">
    <w:name w:val="TOC Heading"/>
    <w:basedOn w:val="1"/>
    <w:next w:val="a"/>
    <w:uiPriority w:val="39"/>
    <w:semiHidden/>
    <w:unhideWhenUsed/>
    <w:qFormat/>
    <w:pPr>
      <w:outlineLvl w:val="9"/>
    </w:pPr>
  </w:style>
  <w:style w:type="table" w:styleId="af1">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Pr>
      <w:rFonts w:asciiTheme="majorHAnsi" w:eastAsiaTheme="majorEastAsia" w:hAnsiTheme="majorHAnsi" w:cstheme="majorBidi"/>
      <w:sz w:val="18"/>
      <w:szCs w:val="18"/>
    </w:rPr>
  </w:style>
  <w:style w:type="paragraph" w:styleId="af4">
    <w:name w:val="header"/>
    <w:basedOn w:val="a"/>
    <w:link w:val="af5"/>
    <w:uiPriority w:val="99"/>
    <w:unhideWhenUsed/>
    <w:pPr>
      <w:tabs>
        <w:tab w:val="center" w:pos="4252"/>
        <w:tab w:val="right" w:pos="8504"/>
      </w:tabs>
      <w:snapToGrid w:val="0"/>
    </w:pPr>
  </w:style>
  <w:style w:type="character" w:customStyle="1" w:styleId="af5">
    <w:name w:val="ヘッダー (文字)"/>
    <w:basedOn w:val="a0"/>
    <w:link w:val="af4"/>
    <w:uiPriority w:val="99"/>
  </w:style>
  <w:style w:type="paragraph" w:styleId="af6">
    <w:name w:val="footer"/>
    <w:basedOn w:val="a"/>
    <w:link w:val="af7"/>
    <w:uiPriority w:val="99"/>
    <w:unhideWhenUsed/>
    <w:pPr>
      <w:tabs>
        <w:tab w:val="center" w:pos="4252"/>
        <w:tab w:val="right" w:pos="8504"/>
      </w:tabs>
      <w:snapToGrid w:val="0"/>
    </w:pPr>
  </w:style>
  <w:style w:type="character" w:customStyle="1" w:styleId="af7">
    <w:name w:val="フッター (文字)"/>
    <w:basedOn w:val="a0"/>
    <w:link w:val="af6"/>
    <w:uiPriority w:val="99"/>
  </w:style>
  <w:style w:type="paragraph" w:styleId="af8">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4812">
      <w:bodyDiv w:val="1"/>
      <w:marLeft w:val="0"/>
      <w:marRight w:val="0"/>
      <w:marTop w:val="0"/>
      <w:marBottom w:val="0"/>
      <w:divBdr>
        <w:top w:val="none" w:sz="0" w:space="0" w:color="auto"/>
        <w:left w:val="none" w:sz="0" w:space="0" w:color="auto"/>
        <w:bottom w:val="none" w:sz="0" w:space="0" w:color="auto"/>
        <w:right w:val="none" w:sz="0" w:space="0" w:color="auto"/>
      </w:divBdr>
    </w:div>
    <w:div w:id="353268624">
      <w:bodyDiv w:val="1"/>
      <w:marLeft w:val="0"/>
      <w:marRight w:val="0"/>
      <w:marTop w:val="0"/>
      <w:marBottom w:val="0"/>
      <w:divBdr>
        <w:top w:val="none" w:sz="0" w:space="0" w:color="auto"/>
        <w:left w:val="none" w:sz="0" w:space="0" w:color="auto"/>
        <w:bottom w:val="none" w:sz="0" w:space="0" w:color="auto"/>
        <w:right w:val="none" w:sz="0" w:space="0" w:color="auto"/>
      </w:divBdr>
    </w:div>
    <w:div w:id="458452667">
      <w:bodyDiv w:val="1"/>
      <w:marLeft w:val="0"/>
      <w:marRight w:val="0"/>
      <w:marTop w:val="0"/>
      <w:marBottom w:val="0"/>
      <w:divBdr>
        <w:top w:val="none" w:sz="0" w:space="0" w:color="auto"/>
        <w:left w:val="none" w:sz="0" w:space="0" w:color="auto"/>
        <w:bottom w:val="none" w:sz="0" w:space="0" w:color="auto"/>
        <w:right w:val="none" w:sz="0" w:space="0" w:color="auto"/>
      </w:divBdr>
    </w:div>
    <w:div w:id="622462695">
      <w:bodyDiv w:val="1"/>
      <w:marLeft w:val="0"/>
      <w:marRight w:val="0"/>
      <w:marTop w:val="0"/>
      <w:marBottom w:val="0"/>
      <w:divBdr>
        <w:top w:val="none" w:sz="0" w:space="0" w:color="auto"/>
        <w:left w:val="none" w:sz="0" w:space="0" w:color="auto"/>
        <w:bottom w:val="none" w:sz="0" w:space="0" w:color="auto"/>
        <w:right w:val="none" w:sz="0" w:space="0" w:color="auto"/>
      </w:divBdr>
    </w:div>
    <w:div w:id="932205163">
      <w:bodyDiv w:val="1"/>
      <w:marLeft w:val="0"/>
      <w:marRight w:val="0"/>
      <w:marTop w:val="0"/>
      <w:marBottom w:val="0"/>
      <w:divBdr>
        <w:top w:val="none" w:sz="0" w:space="0" w:color="auto"/>
        <w:left w:val="none" w:sz="0" w:space="0" w:color="auto"/>
        <w:bottom w:val="none" w:sz="0" w:space="0" w:color="auto"/>
        <w:right w:val="none" w:sz="0" w:space="0" w:color="auto"/>
      </w:divBdr>
    </w:div>
    <w:div w:id="1876649979">
      <w:bodyDiv w:val="1"/>
      <w:marLeft w:val="0"/>
      <w:marRight w:val="0"/>
      <w:marTop w:val="0"/>
      <w:marBottom w:val="0"/>
      <w:divBdr>
        <w:top w:val="none" w:sz="0" w:space="0" w:color="auto"/>
        <w:left w:val="none" w:sz="0" w:space="0" w:color="auto"/>
        <w:bottom w:val="none" w:sz="0" w:space="0" w:color="auto"/>
        <w:right w:val="none" w:sz="0" w:space="0" w:color="auto"/>
      </w:divBdr>
    </w:div>
    <w:div w:id="2057118160">
      <w:bodyDiv w:val="1"/>
      <w:marLeft w:val="0"/>
      <w:marRight w:val="0"/>
      <w:marTop w:val="0"/>
      <w:marBottom w:val="0"/>
      <w:divBdr>
        <w:top w:val="none" w:sz="0" w:space="0" w:color="auto"/>
        <w:left w:val="none" w:sz="0" w:space="0" w:color="auto"/>
        <w:bottom w:val="none" w:sz="0" w:space="0" w:color="auto"/>
        <w:right w:val="none" w:sz="0" w:space="0" w:color="auto"/>
      </w:divBdr>
    </w:div>
    <w:div w:id="2102872940">
      <w:bodyDiv w:val="1"/>
      <w:marLeft w:val="0"/>
      <w:marRight w:val="0"/>
      <w:marTop w:val="0"/>
      <w:marBottom w:val="0"/>
      <w:divBdr>
        <w:top w:val="none" w:sz="0" w:space="0" w:color="auto"/>
        <w:left w:val="none" w:sz="0" w:space="0" w:color="auto"/>
        <w:bottom w:val="none" w:sz="0" w:space="0" w:color="auto"/>
        <w:right w:val="none" w:sz="0" w:space="0" w:color="auto"/>
      </w:divBdr>
    </w:div>
    <w:div w:id="212391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クォータブル">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セット">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7B947-B519-4F87-A60E-2C8F99B8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9912</TotalTime>
  <Pages>4</Pages>
  <Words>492</Words>
  <Characters>2809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康夫 永野</dc:creator>
  <cp:keywords/>
  <dc:description/>
  <cp:lastModifiedBy>onojo</cp:lastModifiedBy>
  <cp:revision>14</cp:revision>
  <cp:lastPrinted>2025-04-06T23:41:00Z</cp:lastPrinted>
  <dcterms:created xsi:type="dcterms:W3CDTF">2025-02-10T01:45:00Z</dcterms:created>
  <dcterms:modified xsi:type="dcterms:W3CDTF">2025-04-08T06:34:00Z</dcterms:modified>
</cp:coreProperties>
</file>